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rPr>
          <w:vanish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5"/>
        <w:gridCol w:w="1267"/>
        <w:gridCol w:w="3997"/>
      </w:tblGrid>
      <w:tr>
        <w:trPr>
          <w:trHeight w:val="99"/>
        </w:trPr>
        <w:tc>
          <w:tcPr>
            <w:tcW w:w="413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</w:tc>
        <w:tc>
          <w:tcPr>
            <w:tcW w:w="128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</w:tc>
        <w:tc>
          <w:tcPr>
            <w:tcW w:w="404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ind w:firstLine="709"/>
              <w:jc w:val="both"/>
              <w:rPr>
                <w:rFonts w:eastAsia="Times New Roman" w:cs="Times New Roman"/>
                <w:sz w:val="26"/>
              </w:rPr>
            </w:pPr>
          </w:p>
        </w:tc>
      </w:tr>
      <w:tr>
        <w:trPr>
          <w:trHeight w:val="1181"/>
        </w:trPr>
        <w:tc>
          <w:tcPr>
            <w:tcW w:w="9452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jc w:val="center"/>
              <w:rPr>
                <w:rFonts w:eastAsia="Symbol" w:cs="Symbol"/>
                <w:sz w:val="28"/>
                <w:szCs w:val="28"/>
                <w:lang w:eastAsia="zh-CN"/>
              </w:rPr>
            </w:pPr>
            <w:r>
              <w:rPr>
                <w:rFonts w:eastAsia="Symbol" w:cs="Symbol"/>
                <w:sz w:val="28"/>
                <w:szCs w:val="28"/>
                <w:lang w:eastAsia="zh-CN"/>
              </w:rPr>
              <w:t xml:space="preserve">ЕДИНАЯ ИНФОРМАЦИОННАЯ СИСТЕМА ЗДРАВООХРАНЕНИЯ ПЕРМСКОГО КРАЯ </w:t>
            </w:r>
          </w:p>
          <w:p>
            <w:pPr>
              <w:spacing w:before="120"/>
              <w:jc w:val="center"/>
            </w:pPr>
            <w:r>
              <w:rPr>
                <w:rFonts w:eastAsia="Symbol" w:cs="Symbol"/>
                <w:sz w:val="28"/>
                <w:szCs w:val="28"/>
                <w:lang w:eastAsia="zh-CN"/>
              </w:rPr>
              <w:t xml:space="preserve">(ЕИСЗ ПК)</w:t>
            </w:r>
          </w:p>
        </w:tc>
      </w:tr>
      <w:tr>
        <w:trPr>
          <w:trHeight w:val="907"/>
        </w:trPr>
        <w:tc>
          <w:tcPr>
            <w:tcW w:w="9452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/>
        </w:tc>
      </w:tr>
      <w:tr>
        <w:trPr>
          <w:trHeight w:val="421"/>
        </w:trPr>
        <w:tc>
          <w:tcPr>
            <w:tcW w:w="9452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before="120" w:after="120"/>
              <w:jc w:val="center"/>
            </w:pPr>
            <w:r>
              <w:rPr>
                <w:rFonts w:eastAsia="Times New Roman" w:cs="Times New Roman"/>
                <w:b/>
                <w:sz w:val="32"/>
                <w:szCs w:val="32"/>
              </w:rPr>
              <w:t xml:space="preserve">Единый регламент оказания услуг</w:t>
            </w:r>
          </w:p>
        </w:tc>
      </w:tr>
      <w:tr>
        <w:trPr>
          <w:trHeight w:val="365"/>
        </w:trPr>
        <w:tc>
          <w:tcPr>
            <w:tcW w:w="9452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before="120" w:after="120"/>
              <w:jc w:val="center"/>
            </w:pPr>
            <w:r>
              <w:rPr>
                <w:rFonts w:ascii="Arial" w:hAnsi="Arial" w:eastAsia="Arial"/>
                <w:sz w:val="22"/>
              </w:rPr>
              <w:t xml:space="preserve">*</w:t>
            </w:r>
            <w:r>
              <w:rPr>
                <w:rFonts w:cs="Times New Roman"/>
                <w:bCs/>
                <w:sz w:val="28"/>
                <w:szCs w:val="28"/>
              </w:rPr>
              <w:t xml:space="preserve">по поддержке пользователей Системы и решению инцидентов</w:t>
            </w:r>
          </w:p>
        </w:tc>
      </w:tr>
      <w:tr>
        <w:trPr>
          <w:trHeight w:val="395"/>
        </w:trPr>
        <w:tc>
          <w:tcPr>
            <w:tcW w:w="9452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before="120" w:after="120"/>
              <w:jc w:val="center"/>
            </w:pPr>
            <w:r>
              <w:rPr>
                <w:rFonts w:cs="Times New Roman"/>
                <w:bCs/>
                <w:sz w:val="28"/>
                <w:szCs w:val="28"/>
              </w:rPr>
              <w:t xml:space="preserve">Листов</w:t>
            </w:r>
            <w:r>
              <w:rPr>
                <w:bCs/>
                <w:sz w:val="28"/>
                <w:szCs w:val="28"/>
              </w:rPr>
              <w:t xml:space="preserve"> 32</w:t>
            </w:r>
          </w:p>
          <w:p>
            <w:pPr>
              <w:jc w:val="center"/>
              <w:rPr>
                <w:rFonts w:eastAsia="Times New Roman" w:cs="Times New Roman"/>
                <w:sz w:val="26"/>
              </w:rPr>
            </w:pPr>
          </w:p>
        </w:tc>
      </w:tr>
      <w:tr>
        <w:trPr>
          <w:trHeight w:val="958"/>
        </w:trPr>
        <w:tc>
          <w:tcPr>
            <w:tcW w:w="9452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before="120" w:after="120"/>
              <w:rPr>
                <w:rFonts w:eastAsia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>
        <w:trPr>
          <w:trHeight w:val="3183"/>
        </w:trPr>
        <w:tc>
          <w:tcPr>
            <w:tcW w:w="9452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>
            <w:pPr>
              <w:rPr>
                <w:rFonts w:eastAsia="Times New Roman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Пермь</w:t>
            </w:r>
            <w:r>
              <w:rPr>
                <w:rFonts w:eastAsia="Times New Roman" w:cs="Times New Roman"/>
                <w:sz w:val="28"/>
                <w:szCs w:val="28"/>
              </w:rPr>
              <w:br w:type="textWrapping" w:clear="all"/>
              <w:t xml:space="preserve">2</w:t>
            </w:r>
            <w:r>
              <w:rPr>
                <w:rFonts w:eastAsia="Times New Roman" w:cs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26</w:t>
            </w:r>
          </w:p>
          <w:p/>
          <w:p>
            <w:pPr>
              <w:rPr>
                <w:rFonts w:eastAsia="Times New Roman" w:cs="Times New Roman"/>
                <w:sz w:val="28"/>
                <w:szCs w:val="28"/>
              </w:rPr>
            </w:pPr>
          </w:p>
          <w:p/>
          <w:p>
            <w:pPr>
              <w:rPr>
                <w:rFonts w:eastAsia="Times New Roman" w:cs="Times New Roman"/>
                <w:sz w:val="28"/>
                <w:szCs w:val="28"/>
              </w:rPr>
            </w:pPr>
          </w:p>
          <w:p>
            <w:pPr>
              <w:rPr>
                <w:rFonts w:eastAsia="Times New Roman" w:cs="Times New Roman"/>
                <w:sz w:val="28"/>
                <w:szCs w:val="28"/>
              </w:rPr>
            </w:pPr>
          </w:p>
          <w:p/>
          <w:p/>
        </w:tc>
      </w:tr>
    </w:tbl>
    <w:p>
      <w:pPr>
        <w:keepNext/>
        <w:pageBreakBefore/>
        <w:spacing w:after="360" w:line="360" w:lineRule="auto"/>
        <w:jc w:val="center"/>
        <w:rPr>
          <w:rFonts w:eastAsia="Times New Roman" w:cs="Times New Roman"/>
          <w:b/>
          <w:bCs/>
          <w:sz w:val="32"/>
          <w:szCs w:val="32"/>
          <w:lang w:eastAsia="ru-RU" w:bidi="en-US"/>
        </w:rPr>
      </w:pPr>
      <w:r>
        <w:rPr>
          <w:rFonts w:eastAsia="Times New Roman" w:cs="Times New Roman"/>
          <w:b/>
          <w:bCs/>
          <w:sz w:val="32"/>
          <w:szCs w:val="32"/>
          <w:lang w:eastAsia="ru-RU" w:bidi="en-US"/>
        </w:rPr>
        <w:t xml:space="preserve">Аннотация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Настоящий документ представляет собой Единый регламент оказания услуг по поддержке пользователей и решению инцидентов Единой информационной системы здравоохранения Пермского края (далее – ЕИСЗ ПК, Система)</w:t>
      </w:r>
      <w:r>
        <w:rPr>
          <w:rFonts w:eastAsia="Times New Roman" w:cs="Times New Roman"/>
          <w:szCs w:val="24"/>
          <w:lang w:eastAsia="ru-RU" w:bidi="en-US"/>
        </w:rPr>
        <w:t xml:space="preserve">.</w:t>
      </w:r>
    </w:p>
    <w:p>
      <w:pPr>
        <w:spacing w:after="0" w:line="360" w:lineRule="auto"/>
        <w:ind w:firstLine="851"/>
        <w:jc w:val="both"/>
        <w:rPr>
          <w:lang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Данная версия Единого регламента оказания услуг предназначена для руководства пользователями ЕИСЗ ПК.</w:t>
      </w:r>
    </w:p>
    <w:p>
      <w:pPr>
        <w:pStyle w:val="-0"/>
        <w:ind w:firstLine="0"/>
        <w:rPr>
          <w:lang w:bidi="en-US"/>
        </w:rPr>
      </w:pPr>
      <w:r>
        <w:rPr>
          <w:lang w:bidi="en-US"/>
        </w:rPr>
        <w:br w:type="page" w:clear="all"/>
      </w:r>
    </w:p>
    <w:p>
      <w:pPr>
        <w:pStyle w:val="af5"/>
        <w:spacing w:before="360" w:after="360"/>
        <w:jc w:val="center"/>
        <w:outlineLvl w:val="9"/>
      </w:pPr>
      <w:bookmarkStart w:id="0" w:name="_Toc237433481"/>
      <w:r>
        <w:rPr>
          <w:rFonts w:ascii="Times New Roman" w:hAnsi="Times New Roman"/>
          <w:b/>
          <w:color w:val="000000"/>
          <w:lang w:bidi="en-US"/>
        </w:rPr>
        <w:t xml:space="preserve">Содержание</w:t>
      </w:r>
      <w:bookmarkEnd w:id="0"/>
    </w:p>
    <w:p>
      <w:pPr>
        <w:pStyle w:val="18"/>
        <w:rPr>
          <w:rFonts w:ascii="Calibri" w:hAnsi="Calibri" w:eastAsia="Times New Roman" w:cs="Times New Roman"/>
          <w:lang w:eastAsia="ru-RU"/>
        </w:rPr>
      </w:pPr>
      <w:r>
        <w:rPr>
          <w:rFonts w:ascii="Calibri Light" w:hAnsi="Calibri Light" w:eastAsia="Times New Roman" w:cs="Times New Roman"/>
          <w:color w:val="2f5496"/>
          <w:sz w:val="32"/>
          <w:szCs w:val="32"/>
          <w:lang w:eastAsia="ru-RU"/>
        </w:rPr>
        <w:fldChar w:fldCharType="begin"/>
      </w:r>
      <w:r>
        <w:instrText xml:space="preserve"> TOC \o "1-3" \h </w:instrText>
      </w:r>
      <w:r>
        <w:rPr>
          <w:rFonts w:ascii="Calibri Light" w:hAnsi="Calibri Light" w:eastAsia="Times New Roman" w:cs="Times New Roman"/>
          <w:color w:val="2f5496"/>
          <w:sz w:val="32"/>
          <w:szCs w:val="32"/>
          <w:lang w:eastAsia="ru-RU"/>
        </w:rPr>
        <w:fldChar w:fldCharType="separate"/>
      </w:r>
      <w:hyperlink w:anchor="_Toc237433481" w:history="1">
        <w:r>
          <w:rPr>
            <w:rStyle w:val="af0"/>
            <w:b/>
            <w:lang w:bidi="en-US"/>
          </w:rPr>
          <w:t xml:space="preserve">Содержание</w:t>
        </w:r>
        <w:r>
          <w:tab/>
        </w:r>
        <w:r>
          <w:fldChar w:fldCharType="begin"/>
        </w:r>
        <w:r>
          <w:instrText xml:space="preserve"> PAGEREF _Toc237433481 \h 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18"/>
        <w:rPr>
          <w:rFonts w:ascii="Calibri" w:hAnsi="Calibri" w:eastAsia="Times New Roman" w:cs="Times New Roman"/>
          <w:lang w:eastAsia="ru-RU"/>
        </w:rPr>
      </w:pPr>
      <w:hyperlink w:anchor="_Toc237433482" w:history="1">
        <w:r>
          <w:rPr>
            <w:rStyle w:val="af0"/>
            <w:lang w:bidi="en-US"/>
          </w:rPr>
          <w:t xml:space="preserve">1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  <w:lang w:bidi="en-US"/>
          </w:rPr>
          <w:t xml:space="preserve">Регламент по поддержке пользователей Системы и решению инцидентов</w:t>
        </w:r>
        <w:r>
          <w:tab/>
        </w:r>
        <w:r>
          <w:fldChar w:fldCharType="begin"/>
        </w:r>
        <w:r>
          <w:instrText xml:space="preserve"> PAGEREF _Toc237433482 \h </w:instrText>
        </w:r>
        <w:r>
          <w:fldChar w:fldCharType="separate"/>
        </w:r>
        <w:r>
          <w:t xml:space="preserve">11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83" w:history="1">
        <w:r>
          <w:rPr>
            <w:rStyle w:val="af0"/>
          </w:rPr>
          <w:t xml:space="preserve">1.1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  <w:rFonts w:eastAsia="Times New Roman"/>
            <w:bCs/>
            <w:iCs/>
          </w:rPr>
          <w:t xml:space="preserve">Участники</w:t>
        </w:r>
        <w:r>
          <w:rPr>
            <w:rStyle w:val="af0"/>
          </w:rPr>
          <w:t xml:space="preserve"> оказания услуг по поддержке пользователей Системы и решению инцидентов</w:t>
        </w:r>
        <w:r>
          <w:tab/>
        </w:r>
        <w:r>
          <w:fldChar w:fldCharType="begin"/>
        </w:r>
        <w:r>
          <w:instrText xml:space="preserve"> PAGEREF _Toc237433483 \h </w:instrText>
        </w:r>
        <w:r>
          <w:fldChar w:fldCharType="separate"/>
        </w:r>
        <w:r>
          <w:t xml:space="preserve">11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84" w:history="1">
        <w:r>
          <w:rPr>
            <w:rStyle w:val="af0"/>
          </w:rPr>
          <w:t xml:space="preserve">1.2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Порядок оказания услуги по поддержке пользователей Системы и решению инцидентов</w:t>
        </w:r>
        <w:r>
          <w:tab/>
        </w:r>
        <w:r>
          <w:fldChar w:fldCharType="begin"/>
        </w:r>
        <w:r>
          <w:instrText xml:space="preserve"> PAGEREF _Toc237433484 \h </w:instrText>
        </w:r>
        <w:r>
          <w:fldChar w:fldCharType="separate"/>
        </w:r>
        <w:r>
          <w:t xml:space="preserve">12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85" w:history="1">
        <w:r>
          <w:rPr>
            <w:rStyle w:val="af0"/>
          </w:rPr>
          <w:t xml:space="preserve">1.3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Порядок получения доступа пользователям ЕИСЗ ПК к СУЗ исполнителя</w:t>
        </w:r>
        <w:r>
          <w:tab/>
        </w:r>
        <w:r>
          <w:fldChar w:fldCharType="begin"/>
        </w:r>
        <w:r>
          <w:instrText xml:space="preserve"> PAGEREF _Toc237433485 \h </w:instrText>
        </w:r>
        <w:r>
          <w:fldChar w:fldCharType="separate"/>
        </w:r>
        <w:r>
          <w:t xml:space="preserve">17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86" w:history="1">
        <w:r>
          <w:rPr>
            <w:rStyle w:val="af0"/>
          </w:rPr>
          <w:t xml:space="preserve">1.4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Порядок парольной защиты в ЕИСЗ ПК</w:t>
        </w:r>
        <w:r>
          <w:tab/>
        </w:r>
        <w:r>
          <w:fldChar w:fldCharType="begin"/>
        </w:r>
        <w:r>
          <w:instrText xml:space="preserve"> PAGEREF _Toc237433486 \h </w:instrText>
        </w:r>
        <w:r>
          <w:fldChar w:fldCharType="separate"/>
        </w:r>
        <w:r>
          <w:t xml:space="preserve">18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87" w:history="1">
        <w:r>
          <w:rPr>
            <w:rStyle w:val="af0"/>
          </w:rPr>
          <w:t xml:space="preserve">1.5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Порядок определения уполномоченных лиц и администраторов медицинских организаций</w:t>
        </w:r>
        <w:r>
          <w:tab/>
        </w:r>
        <w:r>
          <w:fldChar w:fldCharType="begin"/>
        </w:r>
        <w:r>
          <w:instrText xml:space="preserve"> PAGEREF _Toc237433487 \h </w:instrText>
        </w:r>
        <w:r>
          <w:fldChar w:fldCharType="separate"/>
        </w:r>
        <w:r>
          <w:t xml:space="preserve">19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88" w:history="1">
        <w:r>
          <w:rPr>
            <w:rStyle w:val="af0"/>
          </w:rPr>
          <w:t xml:space="preserve">1.6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Регистрация обращения и инцидента (Заявок)</w:t>
        </w:r>
        <w:r>
          <w:tab/>
        </w:r>
        <w:r>
          <w:fldChar w:fldCharType="begin"/>
        </w:r>
        <w:r>
          <w:instrText xml:space="preserve"> PAGEREF _Toc237433488 \h </w:instrText>
        </w:r>
        <w:r>
          <w:fldChar w:fldCharType="separate"/>
        </w:r>
        <w:r>
          <w:t xml:space="preserve">20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89" w:history="1">
        <w:r>
          <w:rPr>
            <w:rStyle w:val="af0"/>
          </w:rPr>
          <w:t xml:space="preserve">1.7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Маршрутизация обращения и инцидента (Заявок)</w:t>
        </w:r>
        <w:r>
          <w:tab/>
        </w:r>
        <w:r>
          <w:fldChar w:fldCharType="begin"/>
        </w:r>
        <w:r>
          <w:instrText xml:space="preserve"> PAGEREF _Toc237433489 \h </w:instrText>
        </w:r>
        <w:r>
          <w:fldChar w:fldCharType="separate"/>
        </w:r>
        <w:r>
          <w:t xml:space="preserve">20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0" w:history="1">
        <w:r>
          <w:rPr>
            <w:rStyle w:val="af0"/>
          </w:rPr>
          <w:t xml:space="preserve">1.8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Первичная диагностика и анализ информации для решения обращения и инцидента (Заявок)</w:t>
        </w:r>
        <w:r>
          <w:tab/>
        </w:r>
        <w:r>
          <w:fldChar w:fldCharType="begin"/>
        </w:r>
        <w:r>
          <w:instrText xml:space="preserve"> PAGEREF _Toc237433490 \h </w:instrText>
        </w:r>
        <w:r>
          <w:fldChar w:fldCharType="separate"/>
        </w:r>
        <w:r>
          <w:t xml:space="preserve">21</w:t>
        </w:r>
        <w:r>
          <w:fldChar w:fldCharType="end"/>
        </w:r>
      </w:hyperlink>
    </w:p>
    <w:p>
      <w:pPr>
        <w:pStyle w:val="26"/>
        <w:tabs>
          <w:tab w:val="left" w:pos="850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1" w:history="1">
        <w:r>
          <w:rPr>
            <w:rStyle w:val="af0"/>
          </w:rPr>
          <w:t xml:space="preserve">1.9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Создание связей между идентичными инцидентами и обращениями (Заявок)</w:t>
        </w:r>
        <w:r>
          <w:tab/>
        </w:r>
        <w:r>
          <w:fldChar w:fldCharType="begin"/>
        </w:r>
        <w:r>
          <w:instrText xml:space="preserve"> PAGEREF _Toc237433491 \h </w:instrText>
        </w:r>
        <w:r>
          <w:fldChar w:fldCharType="separate"/>
        </w:r>
        <w:r>
          <w:t xml:space="preserve">23</w:t>
        </w:r>
        <w:r>
          <w:fldChar w:fldCharType="end"/>
        </w:r>
      </w:hyperlink>
    </w:p>
    <w:p>
      <w:pPr>
        <w:pStyle w:val="26"/>
        <w:tabs>
          <w:tab w:val="left" w:pos="1134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2" w:history="1">
        <w:r>
          <w:rPr>
            <w:rStyle w:val="af0"/>
          </w:rPr>
          <w:t xml:space="preserve">1.10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Решение обращений и инцидентов (Заявок)</w:t>
        </w:r>
        <w:r>
          <w:tab/>
        </w:r>
        <w:r>
          <w:fldChar w:fldCharType="begin"/>
        </w:r>
        <w:r>
          <w:instrText xml:space="preserve"> PAGEREF _Toc237433492 \h </w:instrText>
        </w:r>
        <w:r>
          <w:fldChar w:fldCharType="separate"/>
        </w:r>
        <w:r>
          <w:t xml:space="preserve">24</w:t>
        </w:r>
        <w:r>
          <w:fldChar w:fldCharType="end"/>
        </w:r>
      </w:hyperlink>
    </w:p>
    <w:p>
      <w:pPr>
        <w:pStyle w:val="26"/>
        <w:tabs>
          <w:tab w:val="left" w:pos="1134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3" w:history="1">
        <w:r>
          <w:rPr>
            <w:rStyle w:val="af0"/>
          </w:rPr>
          <w:t xml:space="preserve">1.11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Проверка и подтверждение решения обращения и инцидента</w:t>
        </w:r>
        <w:r>
          <w:tab/>
        </w:r>
        <w:r>
          <w:fldChar w:fldCharType="begin"/>
        </w:r>
        <w:r>
          <w:instrText xml:space="preserve"> PAGEREF _Toc237433493 \h </w:instrText>
        </w:r>
        <w:r>
          <w:fldChar w:fldCharType="separate"/>
        </w:r>
        <w:r>
          <w:t xml:space="preserve">25</w:t>
        </w:r>
        <w:r>
          <w:fldChar w:fldCharType="end"/>
        </w:r>
      </w:hyperlink>
    </w:p>
    <w:p>
      <w:pPr>
        <w:pStyle w:val="26"/>
        <w:tabs>
          <w:tab w:val="left" w:pos="1134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4" w:history="1">
        <w:r>
          <w:rPr>
            <w:rStyle w:val="af0"/>
          </w:rPr>
          <w:t xml:space="preserve">1.12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Услуга по хранению голосовых заявок</w:t>
        </w:r>
        <w:r>
          <w:tab/>
        </w:r>
        <w:r>
          <w:fldChar w:fldCharType="begin"/>
        </w:r>
        <w:r>
          <w:instrText xml:space="preserve"> PAGEREF _Toc237433494 \h </w:instrText>
        </w:r>
        <w:r>
          <w:fldChar w:fldCharType="separate"/>
        </w:r>
        <w:r>
          <w:t xml:space="preserve">26</w:t>
        </w:r>
        <w:r>
          <w:fldChar w:fldCharType="end"/>
        </w:r>
      </w:hyperlink>
    </w:p>
    <w:p>
      <w:pPr>
        <w:pStyle w:val="32"/>
        <w:tabs>
          <w:tab w:val="left" w:pos="1701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5" w:history="1">
        <w:r>
          <w:rPr>
            <w:rStyle w:val="af0"/>
          </w:rPr>
          <w:t xml:space="preserve">1.12.1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Участники оказания услуги</w:t>
        </w:r>
        <w:r>
          <w:tab/>
        </w:r>
        <w:r>
          <w:fldChar w:fldCharType="begin"/>
        </w:r>
        <w:r>
          <w:instrText xml:space="preserve"> PAGEREF _Toc237433495 \h </w:instrText>
        </w:r>
        <w:r>
          <w:fldChar w:fldCharType="separate"/>
        </w:r>
        <w:r>
          <w:t xml:space="preserve">26</w:t>
        </w:r>
        <w:r>
          <w:fldChar w:fldCharType="end"/>
        </w:r>
      </w:hyperlink>
    </w:p>
    <w:p>
      <w:pPr>
        <w:pStyle w:val="32"/>
        <w:tabs>
          <w:tab w:val="left" w:pos="1701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6" w:history="1">
        <w:r>
          <w:rPr>
            <w:rStyle w:val="af0"/>
          </w:rPr>
          <w:t xml:space="preserve">1.12.2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Порядок предоставления услуги хранению голосовых заявок</w:t>
        </w:r>
        <w:r>
          <w:tab/>
        </w:r>
        <w:r>
          <w:fldChar w:fldCharType="begin"/>
        </w:r>
        <w:r>
          <w:instrText xml:space="preserve"> PAGEREF _Toc237433496 \h </w:instrText>
        </w:r>
        <w:r>
          <w:fldChar w:fldCharType="separate"/>
        </w:r>
        <w:r>
          <w:t xml:space="preserve">26</w:t>
        </w:r>
        <w:r>
          <w:fldChar w:fldCharType="end"/>
        </w:r>
      </w:hyperlink>
    </w:p>
    <w:p>
      <w:pPr>
        <w:pStyle w:val="26"/>
        <w:tabs>
          <w:tab w:val="left" w:pos="1134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7" w:history="1">
        <w:r>
          <w:rPr>
            <w:rStyle w:val="af0"/>
          </w:rPr>
          <w:t xml:space="preserve">1.13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Услуга по предоставлению информации о действиях в системе</w:t>
        </w:r>
        <w:r>
          <w:tab/>
        </w:r>
        <w:r>
          <w:fldChar w:fldCharType="begin"/>
        </w:r>
        <w:r>
          <w:instrText xml:space="preserve"> PAGEREF _Toc237433497 \h </w:instrText>
        </w:r>
        <w:r>
          <w:fldChar w:fldCharType="separate"/>
        </w:r>
        <w:r>
          <w:t xml:space="preserve">27</w:t>
        </w:r>
        <w:r>
          <w:fldChar w:fldCharType="end"/>
        </w:r>
      </w:hyperlink>
    </w:p>
    <w:p>
      <w:pPr>
        <w:pStyle w:val="32"/>
        <w:tabs>
          <w:tab w:val="left" w:pos="1701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8" w:history="1">
        <w:r>
          <w:rPr>
            <w:rStyle w:val="af0"/>
          </w:rPr>
          <w:t xml:space="preserve">1.13.1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Расширенный аудит</w:t>
        </w:r>
        <w:r>
          <w:tab/>
        </w:r>
        <w:r>
          <w:fldChar w:fldCharType="begin"/>
        </w:r>
        <w:r>
          <w:instrText xml:space="preserve"> PAGEREF _Toc237433498 \h </w:instrText>
        </w:r>
        <w:r>
          <w:fldChar w:fldCharType="separate"/>
        </w:r>
        <w:r>
          <w:t xml:space="preserve">27</w:t>
        </w:r>
        <w:r>
          <w:fldChar w:fldCharType="end"/>
        </w:r>
      </w:hyperlink>
    </w:p>
    <w:p>
      <w:pPr>
        <w:pStyle w:val="32"/>
        <w:tabs>
          <w:tab w:val="left" w:pos="1701"/>
          <w:tab w:val="right" w:pos="9339" w:leader="dot"/>
        </w:tabs>
        <w:rPr>
          <w:rFonts w:ascii="Calibri" w:hAnsi="Calibri" w:eastAsia="Times New Roman" w:cs="Times New Roman"/>
          <w:lang w:eastAsia="ru-RU"/>
        </w:rPr>
      </w:pPr>
      <w:hyperlink w:anchor="_Toc237433499" w:history="1">
        <w:r>
          <w:rPr>
            <w:rStyle w:val="af0"/>
          </w:rPr>
          <w:t xml:space="preserve">1.13.2</w:t>
        </w:r>
        <w:r>
          <w:rPr>
            <w:rFonts w:ascii="Calibri" w:hAnsi="Calibri" w:eastAsia="Times New Roman" w:cs="Times New Roman"/>
            <w:lang w:eastAsia="ru-RU"/>
          </w:rPr>
          <w:tab/>
        </w:r>
        <w:r>
          <w:rPr>
            <w:rStyle w:val="af0"/>
          </w:rPr>
          <w:t xml:space="preserve">Данные о действиях пользователей в системе</w:t>
        </w:r>
        <w:r>
          <w:tab/>
        </w:r>
        <w:r>
          <w:fldChar w:fldCharType="begin"/>
        </w:r>
        <w:r>
          <w:instrText xml:space="preserve"> PAGEREF _Toc237433499 \h </w:instrText>
        </w:r>
        <w:r>
          <w:fldChar w:fldCharType="separate"/>
        </w:r>
        <w:r>
          <w:t xml:space="preserve">27</w:t>
        </w:r>
        <w:r>
          <w:fldChar w:fldCharType="end"/>
        </w:r>
      </w:hyperlink>
    </w:p>
    <w:p>
      <w:pPr>
        <w:pStyle w:val="18"/>
        <w:rPr>
          <w:rFonts w:ascii="Calibri" w:hAnsi="Calibri" w:eastAsia="Times New Roman" w:cs="Times New Roman"/>
          <w:lang w:eastAsia="ru-RU"/>
        </w:rPr>
      </w:pPr>
      <w:hyperlink w:anchor="_Toc237433500" w:history="1">
        <w:r>
          <w:rPr>
            <w:rStyle w:val="af0"/>
            <w:lang w:bidi="en-US"/>
          </w:rPr>
          <w:t xml:space="preserve">Приложение А</w:t>
        </w:r>
        <w:r>
          <w:tab/>
        </w:r>
        <w:r>
          <w:fldChar w:fldCharType="begin"/>
        </w:r>
        <w:r>
          <w:instrText xml:space="preserve"> PAGEREF _Toc237433500 \h </w:instrText>
        </w:r>
        <w:r>
          <w:fldChar w:fldCharType="separate"/>
        </w:r>
        <w:r>
          <w:t xml:space="preserve">29</w:t>
        </w:r>
        <w:r>
          <w:fldChar w:fldCharType="end"/>
        </w:r>
      </w:hyperlink>
    </w:p>
    <w:p>
      <w:pPr>
        <w:pStyle w:val="18"/>
        <w:rPr>
          <w:rFonts w:ascii="Calibri" w:hAnsi="Calibri" w:eastAsia="Times New Roman" w:cs="Times New Roman"/>
          <w:lang w:eastAsia="ru-RU"/>
        </w:rPr>
      </w:pPr>
      <w:hyperlink w:anchor="_Toc237433501" w:history="1">
        <w:r>
          <w:rPr>
            <w:rStyle w:val="af0"/>
            <w:lang w:bidi="en-US"/>
          </w:rPr>
          <w:t xml:space="preserve">Приложение Б</w:t>
        </w:r>
        <w:r>
          <w:tab/>
        </w:r>
        <w:r>
          <w:fldChar w:fldCharType="begin"/>
        </w:r>
        <w:r>
          <w:instrText xml:space="preserve"> PAGEREF _Toc237433501 \h </w:instrText>
        </w:r>
        <w:r>
          <w:fldChar w:fldCharType="separate"/>
        </w:r>
        <w:r>
          <w:t xml:space="preserve">33</w:t>
        </w:r>
        <w:r>
          <w:fldChar w:fldCharType="end"/>
        </w:r>
      </w:hyperlink>
    </w:p>
    <w:p>
      <w:r>
        <w:rPr>
          <w:szCs w:val="24"/>
        </w:rPr>
        <w:fldChar w:fldCharType="end"/>
      </w:r>
    </w:p>
    <w:p>
      <w:pPr>
        <w:pageBreakBefore/>
        <w:rPr>
          <w:lang w:eastAsia="ru-RU" w:bidi="en-US"/>
        </w:rPr>
      </w:pPr>
    </w:p>
    <w:p>
      <w:pPr>
        <w:keepNext/>
        <w:spacing w:before="240" w:after="120" w:line="360" w:lineRule="auto"/>
        <w:jc w:val="center"/>
        <w:outlineLvl w:val="0"/>
        <w:rPr>
          <w:rFonts w:eastAsia="Times New Roman" w:cs="Times New Roman"/>
          <w:b/>
          <w:bCs/>
          <w:sz w:val="32"/>
          <w:szCs w:val="32"/>
          <w:lang w:bidi="en-US"/>
        </w:rPr>
      </w:pPr>
      <w:bookmarkStart w:id="1" w:name="_Toc130200505"/>
      <w:bookmarkStart w:id="2" w:name="_Toc41480303"/>
      <w:r>
        <w:rPr>
          <w:rFonts w:eastAsia="Times New Roman" w:cs="Times New Roman"/>
          <w:b/>
          <w:bCs/>
          <w:sz w:val="32"/>
          <w:szCs w:val="32"/>
          <w:lang w:bidi="en-US"/>
        </w:rPr>
        <w:t xml:space="preserve">Перечень терминов и сокращений</w:t>
      </w:r>
      <w:bookmarkEnd w:id="1"/>
    </w:p>
    <w:p>
      <w:pPr>
        <w:spacing w:before="120" w:after="0" w:line="360" w:lineRule="auto"/>
        <w:ind w:firstLine="709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В настоящем регламенте приняты следующие термины и сокращения, представленные ниже (</w:t>
      </w:r>
      <w:r>
        <w:fldChar w:fldCharType="begin"/>
      </w:r>
      <w:r>
        <w:instrText xml:space="preserve"> REF _Ref172648960 \h </w:instrText>
      </w:r>
      <w:r>
        <w:fldChar w:fldCharType="separate"/>
      </w:r>
      <w:r>
        <w:t xml:space="preserve">Таблица 1</w:t>
      </w:r>
      <w: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).</w:t>
      </w:r>
    </w:p>
    <w:p>
      <w:pPr>
        <w:pStyle w:val="ae"/>
      </w:pPr>
      <w:bookmarkStart w:id="3" w:name="_Ref172648960"/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1</w:t>
      </w:r>
      <w:r>
        <w:fldChar w:fldCharType="end"/>
      </w:r>
      <w:bookmarkEnd w:id="2"/>
      <w:r>
        <w:rPr>
          <w:rFonts w:eastAsia="Times New Roman" w:cs="Times New Roman"/>
          <w:szCs w:val="24"/>
          <w:lang w:eastAsia="ru-RU" w:bidi="en-US"/>
        </w:rPr>
        <w:t xml:space="preserve"> – Перечень терминов и сокращений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7"/>
        <w:gridCol w:w="6948"/>
      </w:tblGrid>
      <w:tr>
        <w:trPr>
          <w:trHeight w:val="20"/>
          <w:tblHeader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 xml:space="preserve">Сокращение, термин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 xml:space="preserve">Расшифровка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HTML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Hypertext Markup Language – стандартный язык разметки документов в Интернете. Все web-страницы создаются при помощи языка HTML. Язык HTML интерпретируется браузером и отображается в виде документа, удобного для человека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1ЛП, Контакт-центр, СТП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Первая линия технической поддержки – сотрудники Контакт-центра Исполнителя.</w:t>
            </w:r>
          </w:p>
          <w:p>
            <w:r>
              <w:rPr>
                <w:rFonts w:eastAsia="Times New Roman" w:cs="Times New Roman"/>
                <w:szCs w:val="24"/>
              </w:rPr>
              <w:t xml:space="preserve">Предназначена для приёма, обработки и первоначального анализа Заявки пользователей, а также решения общих и часто встречающихся вопросов использования Системы в рамках эксплуатации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2ЛП, Центр компетенций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Вторая линия поддержки, организованная Исполнителем. В обязанности входит решение обращений пользователей, которые не были разрешены в Контакт-центре, их анализ, систематизация, выработка решений, эскалация обращений Рабочей группе (при невозможности решить обращения самостоятельно)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3ЛП, </w:t>
            </w:r>
            <w:r>
              <w:rPr>
                <w:rStyle w:val="afff8"/>
                <w:rFonts w:eastAsia="Symbol"/>
              </w:rPr>
              <w:t xml:space="preserve">Рабочая группа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Третья линия поддержки, организованная Исполнителем. В обязанности входит решение обращений пользователей, которые не были разрешены в Контакт-центре и Центре компетенций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Администратор МО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Style w:val="afff8"/>
                <w:rFonts w:eastAsia="Symbol"/>
              </w:rPr>
              <w:t xml:space="preserve">Назначаемая пользователю Системы роль с предопределенными правами доступа к функциям Системы уровня администрирования, включая возможность создания новых учетных записей и управления уже существующими учетными записями для пользователей Системы, которым данная роль не назначена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АРМ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Автоматизированное рабочее место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Время внеплановой недоступности Системы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Период недоступности в соответствии с суммой временных интервалов, прошедших с момента регистрации инцидентов приоритета «Критический», возникших в зоне ответственности Исполнителя (включая программные сбои, несогласованные обновления, ошибочные действия персонала), до момента, когда ошибка/сбой была фактически устранена, а работоспособность/доступность Системы для пользователей восстановлена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Style w:val="afff8"/>
                <w:rFonts w:eastAsia="Symbol"/>
              </w:rPr>
              <w:t xml:space="preserve">Время доступности Системы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Style w:val="afff8"/>
                <w:rFonts w:eastAsia="Symbol"/>
              </w:rPr>
              <w:t xml:space="preserve">Общее нормативное время работы Системы без учета времени внеплановой недоступности Системы за расчетный период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Время решения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Symbol"/>
                <w:szCs w:val="24"/>
              </w:rPr>
            </w:pPr>
            <w:r>
              <w:rPr>
                <w:rStyle w:val="afff8"/>
                <w:rFonts w:eastAsia="Symbol"/>
              </w:rPr>
              <w:t xml:space="preserve">Время, затрачиваемое с момента регистрации Заявки до момента </w:t>
            </w:r>
            <w:r>
              <w:rPr>
                <w:rFonts w:eastAsia="Times New Roman" w:cs="Times New Roman"/>
              </w:rPr>
              <w:t xml:space="preserve">предоставления</w:t>
            </w:r>
            <w:r>
              <w:rPr>
                <w:rStyle w:val="afff8"/>
                <w:rFonts w:eastAsia="Symbol"/>
              </w:rPr>
              <w:t xml:space="preserve"> решения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ДС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Дежурная смена – сотрудники 1ЛП, см. термин «1ЛП»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ЕИСЗ ПК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Единая информационная система здравоохранения Пермского края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Заказчик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Заказчик по гражданско-правовому договору на оказание услуг по сопровождению и эксплуатации Единой информационной системы здравоохранения Пермского края, заключаемому по итогам проведения конкурентной процедуры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Заявка, Запрос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Любое зарегистрированное обращение пользователя Системы, Заказчика или Функционального заказчика в СТП, организованную Исполнителем в рамках оказания услуг.</w:t>
            </w:r>
          </w:p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Делится на следующие типы заявок:</w:t>
            </w:r>
          </w:p>
          <w:p>
            <w:pPr>
              <w:pStyle w:val="a5"/>
              <w:numPr>
                <w:numId w:val="19"/>
                <w:ilvl w:val="0"/>
              </w:num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информационный запрос – это обращение, не являющееся инцидентом, содержащее запрос на консультирование (в том числе в формате «вопрос – ответ»), на предоставление информации о Системе и ее функциях или на предоставление документации на Систему;</w:t>
            </w:r>
          </w:p>
          <w:p>
            <w:pPr>
              <w:pStyle w:val="a5"/>
              <w:numPr>
                <w:numId w:val="19"/>
                <w:ilvl w:val="0"/>
              </w:num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запрос на изменение это:</w:t>
            </w:r>
          </w:p>
          <w:p>
            <w:pPr>
              <w:pStyle w:val="a5"/>
              <w:numPr>
                <w:numId w:val="39"/>
                <w:ilvl w:val="1"/>
              </w:numPr>
            </w:pPr>
            <w:r>
              <w:rPr>
                <w:rFonts w:eastAsia="Times New Roman" w:cs="Times New Roman"/>
                <w:szCs w:val="24"/>
              </w:rPr>
              <w:t xml:space="preserve">обращение за технической поддержкой, предусмотренной функциональностью Системы (например, конфигурирование СПО Системы; создание в Системе учетной записи для МО, назначение пользователю роли «Администратор МО»); </w:t>
            </w:r>
          </w:p>
          <w:p>
            <w:pPr>
              <w:pStyle w:val="a5"/>
              <w:numPr>
                <w:numId w:val="39"/>
                <w:ilvl w:val="1"/>
              </w:num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обращение по настройке параметров функционирования интеграционных механизмов взаимодействия Системы и подключенного к ней клиентского и медицинского оборудования.</w:t>
            </w:r>
          </w:p>
          <w:p>
            <w:pPr>
              <w:pStyle w:val="a5"/>
              <w:numPr>
                <w:numId w:val="19"/>
                <w:ilvl w:val="0"/>
              </w:num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инцидент – это событие в работе Системы, не предусмотренное эксплуатационной документацией для штатного режима функционирования, ведущее или способное привести к недоступности Системы или деградации ее функциональности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ЗНИ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Запрос на изменение. См термин «Заявка»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Инициатор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tabs>
                <w:tab w:val="left" w:pos="930"/>
              </w:tabs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Лицо, инициирующее заявку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Инфраструктурный мониторинг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Мониторинг систем хранения данных, серверных мощностей, сетевых устройств, операционных систем и прочих инфраструктурных компонентов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Инцидент, INC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См. термин «Заявка»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ИС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Информационная система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Исполнитель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Исполнитель по гражданско-правовому договору на оказание услуг по сопровождению и эксплуатации Единой информационной системы здравоохранения Пермского края, заключаемому по итогам проведения конкурентной процедуры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Ключевой функционал Системы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Ключевые (критичные по доступности и работоспособности) функции Системы, обеспечивающие выполнение основных задач в соответствии с назначением Системы. </w:t>
            </w:r>
            <w:r>
              <w:t xml:space="preserve">Перечень ключевого функционала входит в состав документа «Состав сопровождаемых компонентов Единой информационной системы здравоохранения Пермского края», являющимся отдельным приложением к Единому регламенту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МО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Медицинская организация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Недоступность системы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Состояние Системы, при котором в Системе полностью нарушена работа ключевого функционала для пользователей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Обращение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pStyle w:val="--3"/>
            </w:pPr>
            <w:r>
              <w:t xml:space="preserve">1) Обращение, не являющееся инцидентом, содержащее запрос на консультирование (в том числе в формате «вопрос – ответ»), на предоставление информации о Системе и ее функциях или на предоставлении документации на Систему.</w:t>
            </w:r>
          </w:p>
          <w:p>
            <w:pPr>
              <w:pStyle w:val="--3"/>
              <w:rPr>
                <w:rStyle w:val="afff8"/>
              </w:rPr>
            </w:pPr>
            <w:r>
              <w:rPr>
                <w:rStyle w:val="afff8"/>
              </w:rPr>
              <w:t xml:space="preserve">2) Обращение за технической поддержкой, предусмотренной функциональностью Системы (например, конфигурирование СПО Системы; создание в Системе учетной записи для МО, назначение пользователю роли «Администратор МО»);</w:t>
            </w:r>
          </w:p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Style w:val="afff8"/>
                <w:rFonts w:eastAsia="Calibri"/>
              </w:rPr>
              <w:t xml:space="preserve">3) Обращение по настройке параметров функционирования интеграционных механизмов взаимодействия Системы и подключенного к ней клиентского и медицинского оборудования.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ОПО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Общее программное обеспечение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ПО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Программное обеспечение, включающее специальное программное обеспечение (СПО) и общее программное обеспечение (ОПО)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Пользователь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Сотрудник, который авторизован в ЕИСЗ ПК и имеет учетную запись в Системе из:</w:t>
            </w:r>
          </w:p>
          <w:p>
            <w:r>
              <w:rPr>
                <w:rFonts w:eastAsia="Times New Roman" w:cs="Times New Roman"/>
                <w:szCs w:val="24"/>
              </w:rPr>
              <w:t xml:space="preserve">1) медицинской организации</w:t>
            </w:r>
            <w:r>
              <w:rPr>
                <w:rFonts w:eastAsia="Times New Roman" w:cs="Times New Roman"/>
                <w:szCs w:val="24"/>
              </w:rPr>
              <w:t xml:space="preserve"> государственной, частной или федеральной формы собственности</w:t>
            </w:r>
            <w:r>
              <w:rPr>
                <w:rFonts w:eastAsia="Times New Roman" w:cs="Times New Roman"/>
                <w:szCs w:val="24"/>
              </w:rPr>
              <w:t xml:space="preserve">, входящий в состав ее административно-управленческого, медицинского и фармацевтического персонала;</w:t>
            </w:r>
          </w:p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2)  подведомственных организаций Министерства труда и социального развития Пермского края</w:t>
            </w:r>
            <w:r>
              <w:rPr>
                <w:rFonts w:eastAsia="Times New Roman" w:cs="Times New Roman"/>
                <w:szCs w:val="24"/>
              </w:rPr>
              <w:t xml:space="preserve">;</w:t>
            </w:r>
          </w:p>
          <w:p>
            <w:r>
              <w:t xml:space="preserve">3) территориального фонда обязательного медицинского страхования Пермского края;</w:t>
            </w:r>
          </w:p>
          <w:p>
            <w:r>
              <w:t xml:space="preserve">4) территориального органа Росздравнадзора по Пермскому краю</w:t>
            </w:r>
            <w:r>
              <w:t xml:space="preserve">;</w:t>
            </w:r>
          </w:p>
          <w:p>
            <w:r>
              <w:t xml:space="preserve">5) </w:t>
            </w:r>
            <w:r>
              <w:t xml:space="preserve">Страховые медицинские организации в сфере ОМС</w:t>
            </w:r>
            <w:r>
              <w:t xml:space="preserve">;</w:t>
            </w:r>
          </w:p>
          <w:p>
            <w:r>
              <w:t xml:space="preserve">6) </w:t>
            </w:r>
            <w:r>
              <w:t xml:space="preserve">Иные</w:t>
            </w:r>
            <w:r>
              <w:t xml:space="preserve"> пользователи, получившие доступ к ЕИСЗ ПК по согласованию с Министерством здравоохранения Пермского края</w:t>
            </w:r>
            <w:r>
              <w:t xml:space="preserve">.</w:t>
            </w:r>
          </w:p>
          <w:p/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Рабочие дни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Календарные дни в соответствии с Трудовым кодексом, другими федеральными законами и иными нормативными правовыми актами Российской Федерации, относящиеся к рабочему времени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Разработчик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Ответственный сотрудник, занимающийся устранением ошибок в ПО, разработкой ПО и выводом изменений. Функции Разработчика осуществляют организации, выполняющие работы по развитию Системы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t xml:space="preserve">Единый регламент оказания услуг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Единый регламент оказания услуг по сопровождению и эксплуатации Единой информационной системы здравоохранения Пермского края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Система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Style w:val="afff8"/>
                <w:rFonts w:eastAsia="Calibri"/>
              </w:rPr>
              <w:t xml:space="preserve">Единая информационная система здравоохранения Пермского края как объект оказания услуг в рамках Контракта, за исключением </w:t>
            </w:r>
            <w:r>
              <w:t xml:space="preserve">подсистемы управления скорой медицинской помощью и подсистемы хранения и обработки результатов диагностических исследований (медицинских изображений)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СПО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Специальное программное обеспечение, разработанное при создании и развитии Системы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СТП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Служба технической поддержки. </w:t>
            </w:r>
            <w:r>
              <w:rPr>
                <w:rStyle w:val="afff8"/>
                <w:rFonts w:eastAsia="Symbol"/>
              </w:rPr>
              <w:t xml:space="preserve">Служба, состоящая из ответственных сотрудников Исполнителя, оказывающих услуги в рамках настоящего технического задания, которая включает в себя Контакт-центр, Центр компетенций и Рабочую группу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  <w:lang w:eastAsia="ru-RU" w:bidi="en-US"/>
              </w:rPr>
              <w:t xml:space="preserve">СУБД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Система управления базами данных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СУЗ, СКУФ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pStyle w:val="--0"/>
              <w:numPr>
                <w:numId w:val="0"/>
                <w:ilvl w:val="0"/>
              </w:numPr>
              <w:ind w:left="11" w:hanging="11"/>
            </w:pPr>
            <w:r>
              <w:t xml:space="preserve">Система управления заявками </w:t>
            </w:r>
            <w:r>
              <w:rPr>
                <w:rStyle w:val="afff8"/>
              </w:rPr>
              <w:t xml:space="preserve">Заказчика/Исполнителя</w:t>
            </w:r>
            <w:r>
              <w:t xml:space="preserve">. Система управления инцидентами Заказчика или система управления заявками Исполнителя при условии обеспечения доступа Заказчика к полной и достоверной информации о Заявках</w:t>
            </w:r>
          </w:p>
          <w:p>
            <w:pPr>
              <w:pStyle w:val="--0"/>
              <w:numPr>
                <w:numId w:val="0"/>
                <w:ilvl w:val="0"/>
              </w:numPr>
              <w:ind w:left="296" w:hanging="284"/>
              <w:rPr>
                <w:lang w:eastAsia="ru-RU" w:bidi="en-US"/>
              </w:rPr>
            </w:pP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ТЗ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Техническое задание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УЗ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Учетная запись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Style w:val="afff8"/>
                <w:rFonts w:eastAsia="Symbol"/>
              </w:rPr>
              <w:t xml:space="preserve">Услуги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t xml:space="preserve">Оказание услуг по сопровождению и эксплуатации Единой информационной системы здравоохранения Пермского края в рамках гражданско-правового договора, заключаемого по итогам проведения конкурентной процедуры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Style w:val="afff8"/>
                <w:rFonts w:eastAsia="Symbol"/>
              </w:rPr>
            </w:pPr>
            <w:r>
              <w:rPr>
                <w:rStyle w:val="afff8"/>
                <w:rFonts w:eastAsia="Symbol"/>
              </w:rPr>
              <w:t xml:space="preserve">Уполномоченное лицо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t xml:space="preserve">Пользователь из медицинской организации, наделенный полномочиями по направлению заявок в СТП, согласно следующим направлениям: </w:t>
            </w:r>
          </w:p>
          <w:p>
            <w:r>
              <w:t xml:space="preserve">- удаление или редактирование любого оплаченного случая ОМС в ЕИСЗ ПК; </w:t>
            </w:r>
          </w:p>
          <w:p>
            <w:r>
              <w:t xml:space="preserve">- удаление или редактирование не оплаченных случаев и их зависимых сущностей при отсутствии возможности удаления или редактирования пользователем; </w:t>
            </w:r>
          </w:p>
          <w:p>
            <w:r>
              <w:t xml:space="preserve">- изменение стоимости случая лечения в ЕИСЗ ПК или атрибутов, влияющих на стоимость случая; </w:t>
            </w:r>
          </w:p>
          <w:p>
            <w:r>
              <w:t xml:space="preserve">- изменение персональных данных пациентов в ЕИСЗ ПК; </w:t>
            </w:r>
          </w:p>
          <w:p>
            <w:r>
              <w:t xml:space="preserve">- удаление или объединение дублей пациентов в ЕИСЗ ПК. 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Функциональный заказчик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Министерство здравоохранения Пермского края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ЦОД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Центр обработки данных Правительства Пермского края</w:t>
            </w:r>
          </w:p>
        </w:tc>
      </w:tr>
      <w:tr>
        <w:trPr>
          <w:cantSplit/>
          <w:trHeight w:val="20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r>
              <w:rPr>
                <w:rFonts w:eastAsia="Times New Roman" w:cs="Times New Roman"/>
                <w:szCs w:val="24"/>
              </w:rPr>
              <w:t xml:space="preserve">Эксплуатирующие организации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Организации (сотрудники организации), оказывающие услуги по эксплуатации</w:t>
            </w:r>
          </w:p>
        </w:tc>
      </w:tr>
    </w:tbl>
    <w:p>
      <w:pPr>
        <w:sectPr>
          <w:headerReference w:type="default" r:id="rId9"/>
          <w:footerReference w:type="default" r:id="rId12"/>
          <w:footerReference w:type="first" r:id="rId13"/>
          <w:pgSz w:w="11900" w:h="16840"/>
          <w:pgMar w:top="1134" w:right="850" w:bottom="1134" w:left="1701" w:header="567" w:footer="283" w:gutter="0"/>
          <w:cols w:space="720"/>
          <w:docGrid w:linePitch="360"/>
        </w:sectPr>
      </w:pPr>
    </w:p>
    <w:p>
      <w:pPr>
        <w:pStyle w:val="10"/>
        <w:numPr>
          <w:numId w:val="6"/>
          <w:ilvl w:val="0"/>
        </w:numPr>
        <w:tabs>
          <w:tab w:val="num" w:pos="851"/>
          <w:tab w:val="left" w:pos="1276"/>
        </w:tabs>
        <w:spacing w:before="120"/>
        <w:ind w:left="1134" w:hanging="283"/>
      </w:pPr>
      <w:bookmarkStart w:id="4" w:name="_Toc86243696"/>
      <w:bookmarkStart w:id="5" w:name="_Toc86243697"/>
      <w:bookmarkStart w:id="6" w:name="_Toc86243704"/>
      <w:bookmarkStart w:id="7" w:name="_Toc85540813"/>
      <w:bookmarkStart w:id="8" w:name="_Toc85540961"/>
      <w:bookmarkStart w:id="9" w:name="_Toc85542960"/>
      <w:bookmarkStart w:id="10" w:name="_Ref40882854"/>
      <w:bookmarkStart w:id="11" w:name="_Toc41480307"/>
      <w:bookmarkStart w:id="12" w:name="_Ref48570870"/>
      <w:bookmarkStart w:id="13" w:name="_Toc130200512"/>
      <w:bookmarkStart w:id="14" w:name="_Toc237433482"/>
      <w:bookmarkEnd w:id="3"/>
      <w:bookmarkEnd w:id="4"/>
      <w:bookmarkEnd w:id="5"/>
      <w:bookmarkEnd w:id="6"/>
      <w:bookmarkEnd w:id="7"/>
      <w:bookmarkEnd w:id="8"/>
      <w:bookmarkEnd w:id="9"/>
      <w:r>
        <w:t xml:space="preserve">Регламент по поддержке пользователей Системы</w:t>
      </w:r>
      <w:bookmarkEnd w:id="10"/>
      <w:bookmarkEnd w:id="11"/>
      <w:bookmarkEnd w:id="12"/>
      <w:r>
        <w:t xml:space="preserve"> и решению инцидентов</w:t>
      </w:r>
      <w:bookmarkEnd w:id="13"/>
      <w:bookmarkEnd w:id="14"/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</w:rPr>
        <w:t xml:space="preserve">В рамках услуги по поддержке пользователей Системы и услуги по решению инцидентов Исполнитель производит своевременную обработку и решение обращений, поступивших от пользователей Системы, а также инцидентов, поступивших от Заказчика, пользователей Системы, систем мониторинга и самостоятельно выявленных Исполнителем в ходе оказания услуг, в соответствии с параметрами и критериями, приведенными в приложении к настоящему документу (</w:t>
      </w:r>
      <w:r>
        <w:fldChar w:fldCharType="begin"/>
      </w:r>
      <w:r>
        <w:instrText xml:space="preserve"> REF _Ref85487578 \h </w:instrText>
      </w:r>
      <w:r>
        <w:fldChar w:fldCharType="separate"/>
      </w:r>
      <w:r>
        <w:t xml:space="preserve">Приложение А</w:t>
      </w:r>
      <w:r>
        <w:fldChar w:fldCharType="end"/>
      </w:r>
      <w:r>
        <w:rPr>
          <w:rFonts w:eastAsia="Times New Roman" w:cs="Times New Roman"/>
          <w:szCs w:val="24"/>
        </w:rPr>
        <w:t xml:space="preserve">). 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</w:rPr>
        <w:t xml:space="preserve">Обработка обращения осуществляется в Системе управления заявками (системе контроля и управления функционированием) (далее – СУЗ (</w:t>
      </w:r>
      <w:r>
        <w:rPr>
          <w:rFonts w:eastAsia="Times New Roman" w:cs="Times New Roman"/>
          <w:szCs w:val="24"/>
        </w:rPr>
        <w:t xml:space="preserve"> ТП </w:t>
      </w:r>
      <w:r>
        <w:rPr>
          <w:rFonts w:eastAsia="Times New Roman" w:cs="Times New Roman"/>
          <w:szCs w:val="24"/>
        </w:rPr>
        <w:t xml:space="preserve">СКУФ) Исполнителя. 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</w:rPr>
        <w:t xml:space="preserve">Запрос на</w:t>
      </w:r>
      <w:r>
        <w:rPr>
          <w:rFonts w:eastAsia="Times New Roman" w:cs="Times New Roman"/>
          <w:szCs w:val="24"/>
          <w:lang w:eastAsia="ru-RU" w:bidi="en-US"/>
        </w:rPr>
        <w:t xml:space="preserve"> оказание услуг по поддержке пользователей Системы и решению вопросов </w:t>
      </w:r>
      <w:r>
        <w:rPr>
          <w:rFonts w:eastAsia="Times New Roman" w:cs="Times New Roman"/>
          <w:szCs w:val="24"/>
        </w:rPr>
        <w:t xml:space="preserve">пользователей Системы, Заказчика и Функционального заказчика в виде инцидентов могут поступать по единому номеру телефона, электронной почте, либо с использованием СУЗ Исполнителя.</w:t>
      </w:r>
    </w:p>
    <w:p>
      <w:pPr>
        <w:pStyle w:val="20"/>
      </w:pPr>
      <w:bookmarkStart w:id="15" w:name="_Toc85540815"/>
      <w:bookmarkStart w:id="16" w:name="_Toc85540963"/>
      <w:bookmarkStart w:id="17" w:name="_Toc85542962"/>
      <w:bookmarkStart w:id="18" w:name="_Toc41480308"/>
      <w:bookmarkStart w:id="19" w:name="_Ref85537813"/>
      <w:bookmarkStart w:id="20" w:name="_Toc130200513"/>
      <w:bookmarkStart w:id="21" w:name="_Toc237433483"/>
      <w:bookmarkEnd w:id="15"/>
      <w:bookmarkEnd w:id="16"/>
      <w:bookmarkEnd w:id="17"/>
      <w:r>
        <w:rPr>
          <w:rFonts w:ascii="Times New Roman" w:hAnsi="Times New Roman" w:eastAsia="Times New Roman"/>
          <w:bCs/>
          <w:iCs/>
        </w:rPr>
        <w:t xml:space="preserve">Участники</w:t>
      </w:r>
      <w:r>
        <w:t xml:space="preserve"> оказания услуг по поддержке пользователей Системы</w:t>
      </w:r>
      <w:bookmarkEnd w:id="18"/>
      <w:r>
        <w:t xml:space="preserve"> и решению инцидентов</w:t>
      </w:r>
      <w:bookmarkEnd w:id="19"/>
      <w:bookmarkEnd w:id="20"/>
      <w:bookmarkEnd w:id="21"/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Процесс оказания услуг по поддержке пользователей Системы и решению инцидентов реализуется участниками процесса в соответствии с их ролями.</w:t>
      </w:r>
    </w:p>
    <w:p>
      <w:pPr>
        <w:spacing w:after="0" w:line="360" w:lineRule="auto"/>
        <w:ind w:firstLine="851"/>
        <w:jc w:val="both"/>
      </w:pPr>
      <w:r>
        <w:rPr>
          <w:lang w:eastAsia="ru-RU" w:bidi="en-US"/>
        </w:rPr>
        <w:t xml:space="preserve">Участниками процесса оказания услуг по поддержке пользователей Системы и решению инцидентов являются: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Контакт-центр (далее – 1ЛП);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Центр компетенций (далее – 2ЛП);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Рабочая группа (далее – 3ЛП);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Пользователь;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Заказчик;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Функциональный заказчик;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Исполнитель;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Организация, обслуживающая ЦОД</w:t>
      </w:r>
      <w:r>
        <w:t xml:space="preserve">;</w:t>
      </w:r>
    </w:p>
    <w:p>
      <w:pPr>
        <w:pStyle w:val="ScrollListBullet1"/>
        <w:numPr>
          <w:numId w:val="16"/>
          <w:ilvl w:val="0"/>
        </w:numPr>
        <w:tabs>
          <w:tab w:val="left" w:pos="1315"/>
        </w:tabs>
        <w:ind w:left="1315" w:hanging="464"/>
      </w:pPr>
      <w:r>
        <w:t xml:space="preserve">Организация, обслуживающая ЗСПД.</w:t>
      </w:r>
    </w:p>
    <w:p>
      <w:pPr>
        <w:pStyle w:val="ScrollListBullet1"/>
        <w:tabs>
          <w:tab w:val="left" w:pos="1315"/>
        </w:tabs>
      </w:pPr>
    </w:p>
    <w:p>
      <w:pPr>
        <w:pStyle w:val="20"/>
      </w:pPr>
      <w:bookmarkStart w:id="22" w:name="_Toc41480309"/>
      <w:bookmarkStart w:id="23" w:name="_Ref85537966"/>
      <w:bookmarkStart w:id="24" w:name="_Ref85542290"/>
      <w:bookmarkStart w:id="25" w:name="_Toc130200514"/>
      <w:bookmarkStart w:id="26" w:name="_Toc237433484"/>
      <w:r>
        <w:t xml:space="preserve">Порядок оказания услуги по поддержке пользователей Системы</w:t>
      </w:r>
      <w:bookmarkEnd w:id="22"/>
      <w:r>
        <w:t xml:space="preserve"> и решению инцидент</w:t>
      </w:r>
      <w:bookmarkEnd w:id="23"/>
      <w:r>
        <w:t xml:space="preserve">ов</w:t>
      </w:r>
      <w:bookmarkEnd w:id="24"/>
      <w:r>
        <w:t xml:space="preserve"> </w:t>
      </w:r>
      <w:bookmarkEnd w:id="25"/>
      <w:bookmarkEnd w:id="26"/>
    </w:p>
    <w:p>
      <w:pPr>
        <w:keepNext/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Процесс оказания услуг по поддержке пользователей Системы и решению инцидентов состоит из следующих процедур:</w:t>
      </w:r>
    </w:p>
    <w:p>
      <w:pPr>
        <w:pStyle w:val="a5"/>
        <w:numPr>
          <w:numId w:val="23"/>
          <w:ilvl w:val="1"/>
        </w:numPr>
        <w:spacing w:after="0" w:line="360" w:lineRule="auto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регистрация Заявки в СУЗ Исполнителя;</w:t>
      </w:r>
    </w:p>
    <w:p>
      <w:pPr>
        <w:pStyle w:val="a5"/>
        <w:numPr>
          <w:numId w:val="23"/>
          <w:ilvl w:val="1"/>
        </w:numPr>
        <w:spacing w:after="0" w:line="360" w:lineRule="auto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маршрутизация Заявки между участниками процесса;</w:t>
      </w:r>
    </w:p>
    <w:p>
      <w:pPr>
        <w:pStyle w:val="a5"/>
        <w:numPr>
          <w:numId w:val="23"/>
          <w:ilvl w:val="1"/>
        </w:numPr>
        <w:spacing w:after="0" w:line="360" w:lineRule="auto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первичная диагностика и анализ информации для решения Заявки;</w:t>
      </w:r>
    </w:p>
    <w:p>
      <w:pPr>
        <w:pStyle w:val="a5"/>
        <w:numPr>
          <w:numId w:val="23"/>
          <w:ilvl w:val="1"/>
        </w:numPr>
        <w:spacing w:after="0" w:line="360" w:lineRule="auto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создание связей между идентичными Заявками;</w:t>
      </w:r>
    </w:p>
    <w:p>
      <w:pPr>
        <w:pStyle w:val="a5"/>
        <w:numPr>
          <w:numId w:val="23"/>
          <w:ilvl w:val="1"/>
        </w:numPr>
        <w:spacing w:after="0" w:line="360" w:lineRule="auto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решение Заявки;</w:t>
      </w:r>
    </w:p>
    <w:p>
      <w:pPr>
        <w:pStyle w:val="a5"/>
        <w:numPr>
          <w:numId w:val="23"/>
          <w:ilvl w:val="1"/>
        </w:numPr>
        <w:spacing w:after="0" w:line="360" w:lineRule="auto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проверка и подтверждение решения Заявки.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В рамках услуги по поддержке пользователей Системы и решению инцидентов специалисты СТП Исполнителя должны производить обработку Заявок, поступивших от пользователей Системы, от Заказчика, Функционального заказчика.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В рамках оказания услуг по поддержке пользователей Системы и решению Заявок определяются следующие каналы поступления Заявок: </w:t>
      </w:r>
    </w:p>
    <w:p>
      <w:pPr>
        <w:pStyle w:val="a5"/>
        <w:numPr>
          <w:numId w:val="24"/>
          <w:ilvl w:val="0"/>
        </w:numPr>
        <w:spacing w:after="0" w:line="360" w:lineRule="auto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по единому номеру телефона технической поддержки: 8 800 350 56 52; </w:t>
      </w:r>
    </w:p>
    <w:p>
      <w:pPr>
        <w:pStyle w:val="a5"/>
        <w:numPr>
          <w:numId w:val="24"/>
          <w:ilvl w:val="0"/>
        </w:numPr>
        <w:spacing w:after="0" w:line="360" w:lineRule="auto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по электронной почте: </w:t>
      </w:r>
      <w:hyperlink r:id="rId14" w:tooltip="mailto:stp.mis@rtmis.ru" w:history="1">
        <w:r>
          <w:rPr>
            <w:rStyle w:val="af0"/>
            <w:rFonts w:eastAsia="Times New Roman" w:cs="Times New Roman"/>
            <w:szCs w:val="24"/>
            <w:lang w:val="en-US" w:eastAsia="ru-RU" w:bidi="en-US"/>
          </w:rPr>
          <w:t xml:space="preserve">stp</w:t>
        </w:r>
        <w:r>
          <w:rPr>
            <w:rStyle w:val="af0"/>
            <w:rFonts w:eastAsia="Times New Roman" w:cs="Times New Roman"/>
            <w:szCs w:val="24"/>
            <w:lang w:eastAsia="ru-RU" w:bidi="en-US"/>
          </w:rPr>
          <w:t xml:space="preserve">.</w:t>
        </w:r>
        <w:r>
          <w:rPr>
            <w:rStyle w:val="af0"/>
            <w:rFonts w:eastAsia="Times New Roman" w:cs="Times New Roman"/>
            <w:szCs w:val="24"/>
            <w:lang w:val="en-US" w:eastAsia="ru-RU" w:bidi="en-US"/>
          </w:rPr>
          <w:t xml:space="preserve">mis</w:t>
        </w:r>
        <w:r>
          <w:rPr>
            <w:rStyle w:val="af0"/>
            <w:rFonts w:eastAsia="Times New Roman" w:cs="Times New Roman"/>
            <w:szCs w:val="24"/>
            <w:lang w:eastAsia="ru-RU" w:bidi="en-US"/>
          </w:rPr>
          <w:t xml:space="preserve">@</w:t>
        </w:r>
        <w:r>
          <w:rPr>
            <w:rStyle w:val="af0"/>
            <w:rFonts w:eastAsia="Times New Roman" w:cs="Times New Roman"/>
            <w:szCs w:val="24"/>
            <w:lang w:val="en-US" w:eastAsia="ru-RU" w:bidi="en-US"/>
          </w:rPr>
          <w:t xml:space="preserve">rtmis</w:t>
        </w:r>
        <w:r>
          <w:rPr>
            <w:rStyle w:val="af0"/>
            <w:rFonts w:eastAsia="Times New Roman" w:cs="Times New Roman"/>
            <w:szCs w:val="24"/>
            <w:lang w:eastAsia="ru-RU" w:bidi="en-US"/>
          </w:rPr>
          <w:t xml:space="preserve">.</w:t>
        </w:r>
        <w:r>
          <w:rPr>
            <w:rStyle w:val="af0"/>
            <w:rFonts w:eastAsia="Times New Roman" w:cs="Times New Roman"/>
            <w:szCs w:val="24"/>
            <w:lang w:val="en-US" w:eastAsia="ru-RU" w:bidi="en-US"/>
          </w:rPr>
          <w:t xml:space="preserve">ru</w:t>
        </w:r>
      </w:hyperlink>
      <w:r>
        <w:rPr>
          <w:rFonts w:eastAsia="Times New Roman" w:cs="Times New Roman"/>
          <w:szCs w:val="24"/>
          <w:lang w:eastAsia="ru-RU" w:bidi="en-US"/>
        </w:rPr>
        <w:t xml:space="preserve">;</w:t>
      </w:r>
    </w:p>
    <w:p>
      <w:pPr>
        <w:pStyle w:val="a5"/>
        <w:numPr>
          <w:numId w:val="24"/>
          <w:ilvl w:val="0"/>
        </w:numPr>
        <w:spacing w:after="0" w:line="360" w:lineRule="auto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самостоятельная регистрация Заявки пользователем системы, Заказчиком, Функциональный заказчик в СУЗ Исполнителя: https://skuf-portal.rtmis.ru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Заявки, поступившие по иным каналам связи, не подлежат обработке.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Формирование и подача в СТП Заявок по электронной почте и самостоятельной регистрации в СУЗ Исполнителям осуществляется пользователями системы.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Обращения по единому номеру телефона принимаются и обрабатываются от пользователей ЕИСЗ ПК.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Пользователь при подаче Заявок по электронной почте, либо самостоятельной регистрации Заявки через СУЗ Исполнителя выполняет требование – одной Заявке соответствует один вопрос, для однозначной идентификации проблемы или вопроса при выполнении. В случае возникновения при выполнении Заявки новых вопросов или проблем, </w:t>
      </w:r>
      <w:r>
        <w:rPr>
          <w:rFonts w:eastAsia="Times New Roman" w:cs="Times New Roman"/>
          <w:szCs w:val="24"/>
          <w:lang w:eastAsia="ru-RU" w:bidi="en-US"/>
        </w:rPr>
        <w:t xml:space="preserve">Пользователю требуется завести дополнительные</w:t>
      </w:r>
      <w:r>
        <w:rPr>
          <w:rFonts w:eastAsia="Times New Roman" w:cs="Times New Roman"/>
          <w:szCs w:val="24"/>
          <w:lang w:eastAsia="ru-RU" w:bidi="en-US"/>
        </w:rPr>
        <w:t xml:space="preserve"> Заявки в СУЗ.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Номера Заявок присваиваются СУЗ автоматически.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Исполнитель имеет право изменить способ приема Заявок, предварительно уведомив Заказчика по электронной почте. Обо всех изменениях в реквизитах каналов поступления Заявок Исполнитель обязан уведомить Заказчика не менее чем за 14 рабочих дней до вступления изменений в силу. 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Ниже представлено описание типов Заявок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_Ref172639078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Таблица 3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).</w:t>
      </w:r>
    </w:p>
    <w:p>
      <w:pPr>
        <w:keepNext/>
        <w:spacing w:before="120" w:after="120"/>
        <w:jc w:val="both"/>
      </w:pPr>
      <w:bookmarkStart w:id="27" w:name="_Ref172639078"/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3</w:t>
      </w:r>
      <w:r>
        <w:fldChar w:fldCharType="end"/>
      </w:r>
      <w:bookmarkEnd w:id="27"/>
      <w:r>
        <w:rPr>
          <w:rFonts w:eastAsia="Arial Unicode MS" w:cs="Times New Roman"/>
          <w:bCs/>
          <w:szCs w:val="24"/>
          <w:lang w:bidi="en-US"/>
        </w:rPr>
        <w:t xml:space="preserve"> — Типы Заявок</w:t>
      </w:r>
    </w:p>
    <w:tbl>
      <w:tblPr>
        <w:tblW w:w="93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2"/>
        <w:gridCol w:w="1732"/>
        <w:gridCol w:w="5880"/>
      </w:tblGrid>
      <w:tr>
        <w:trPr>
          <w:tblHeader/>
        </w:trPr>
        <w:tc>
          <w:tcPr>
            <w:tcW w:w="17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 xml:space="preserve">Тип Заявки</w:t>
            </w:r>
          </w:p>
        </w:tc>
        <w:tc>
          <w:tcPr>
            <w:tcW w:w="17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 xml:space="preserve">Подтип Заявки</w:t>
            </w:r>
          </w:p>
        </w:tc>
        <w:tc>
          <w:tcPr>
            <w:tcW w:w="5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 xml:space="preserve">Описание типа Заявок</w:t>
            </w:r>
          </w:p>
        </w:tc>
      </w:tr>
      <w:tr>
        <w:trPr>
          <w:trHeight w:val="30"/>
          <w:tblHeader/>
        </w:trPr>
        <w:tc>
          <w:tcPr>
            <w:tcW w:w="1732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r>
              <w:rPr>
                <w:rFonts w:eastAsia="Times New Roman" w:cs="Times New Roman"/>
                <w:szCs w:val="24"/>
              </w:rPr>
              <w:t xml:space="preserve">Обращение </w:t>
            </w:r>
          </w:p>
        </w:tc>
        <w:tc>
          <w:tcPr>
            <w:tcW w:w="17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Информационный запрос</w:t>
            </w:r>
          </w:p>
        </w:tc>
        <w:tc>
          <w:tcPr>
            <w:tcW w:w="5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r>
              <w:rPr>
                <w:rFonts w:eastAsia="Times New Roman" w:cs="Times New Roman"/>
                <w:szCs w:val="24"/>
              </w:rPr>
              <w:t xml:space="preserve">Обращение, не являющееся инцидентом, содержащее запрос на консультирование (в том числе в формате «вопрос – ответ»), на предоставление информации о Системе и ее функциях или на предоставлении документации на Систему</w:t>
            </w:r>
          </w:p>
        </w:tc>
      </w:tr>
      <w:tr>
        <w:trPr>
          <w:trHeight w:val="276"/>
          <w:tblHeader/>
        </w:trPr>
        <w:tc>
          <w:tcPr>
            <w:tcW w:w="173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cs="Times New Roman"/>
              </w:rPr>
            </w:pPr>
          </w:p>
        </w:tc>
        <w:tc>
          <w:tcPr>
            <w:tcW w:w="1732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Запрос на изменение</w:t>
            </w:r>
          </w:p>
        </w:tc>
        <w:tc>
          <w:tcPr>
            <w:tcW w:w="5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Обращение за технической поддержкой, предусмотренной функциональностью Системы (например, конфигурирование СПО Системы; создание в Системе учетной записи для МО, назначение пользователю роли «Администратор МО»)</w:t>
            </w:r>
          </w:p>
        </w:tc>
      </w:tr>
      <w:tr>
        <w:trPr>
          <w:trHeight w:val="30"/>
          <w:tblHeader/>
        </w:trPr>
        <w:tc>
          <w:tcPr>
            <w:tcW w:w="173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cs="Times New Roman"/>
              </w:rPr>
            </w:pPr>
          </w:p>
        </w:tc>
        <w:tc>
          <w:tcPr>
            <w:tcW w:w="173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cs="Times New Roman"/>
              </w:rPr>
            </w:pPr>
          </w:p>
        </w:tc>
        <w:tc>
          <w:tcPr>
            <w:tcW w:w="5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Обращение по настройке параметров функционирования интеграционных механизмов взаимодействия Системы и подключенного к ней клиентского и медицинского оборудования</w:t>
            </w:r>
          </w:p>
        </w:tc>
      </w:tr>
      <w:tr>
        <w:trPr>
          <w:trHeight w:val="30"/>
          <w:tblHeader/>
        </w:trPr>
        <w:tc>
          <w:tcPr>
            <w:tcW w:w="1732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cs="Times New Roman"/>
              </w:rPr>
            </w:pPr>
          </w:p>
        </w:tc>
        <w:tc>
          <w:tcPr>
            <w:tcW w:w="1732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cs="Times New Roman"/>
              </w:rPr>
            </w:pPr>
          </w:p>
        </w:tc>
        <w:tc>
          <w:tcPr>
            <w:tcW w:w="5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343"/>
              <w:shd w:val="clear" w:color="auto" w:fill="ffffff"/>
            </w:pPr>
            <w:r>
              <w:t xml:space="preserve">Обращение, </w:t>
            </w:r>
            <w:r>
              <w:rPr>
                <w:szCs w:val="24"/>
              </w:rPr>
              <w:t xml:space="preserve">связанное с</w:t>
            </w:r>
            <w:r>
              <w:t xml:space="preserve"> необходимостью внесения Исполнителем изменений в информацию, хранящуюся в Системе:</w:t>
            </w:r>
          </w:p>
          <w:p>
            <w:pPr>
              <w:pStyle w:val="343"/>
              <w:numPr>
                <w:numId w:val="46"/>
                <w:ilvl w:val="0"/>
              </w:numPr>
              <w:shd w:val="clear" w:color="auto" w:fill="ffffff"/>
            </w:pPr>
            <w:r>
              <w:t xml:space="preserve">удаление или редактирование любого оплаченного случая;</w:t>
            </w:r>
          </w:p>
          <w:p>
            <w:pPr>
              <w:pStyle w:val="343"/>
              <w:numPr>
                <w:numId w:val="46"/>
                <w:ilvl w:val="0"/>
              </w:numPr>
              <w:shd w:val="clear" w:color="auto" w:fill="ffffff"/>
            </w:pPr>
            <w:r>
              <w:t xml:space="preserve">удаление или редактирование не оплаченных случаев и их зависимых сущностей при блокировке Системой возможности удаления или редактирования Пользователем.</w:t>
            </w:r>
          </w:p>
          <w:p>
            <w:pPr>
              <w:pStyle w:val="343"/>
              <w:numPr>
                <w:numId w:val="46"/>
                <w:ilvl w:val="0"/>
              </w:numPr>
              <w:shd w:val="clear" w:color="auto" w:fill="ffffff"/>
            </w:pPr>
            <w:r>
              <w:t xml:space="preserve">Изменение в настройки системы, имеющие влияние на несколько медицинских организаций</w:t>
            </w:r>
          </w:p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cs="Times New Roman"/>
                <w:szCs w:val="24"/>
              </w:rPr>
              <w:br w:type="textWrapping" w:clear="all"/>
              <w:t xml:space="preserve">К данному типу также относятся Обращения, касающиеся изменения реквизитов Администраторов и Пользователей в СУЗ</w:t>
            </w:r>
            <w:r>
              <w:rPr>
                <w:rFonts w:cs="Times New Roman"/>
              </w:rPr>
              <w:t xml:space="preserve">.</w:t>
            </w:r>
          </w:p>
        </w:tc>
      </w:tr>
      <w:tr>
        <w:trPr>
          <w:tblHeader/>
        </w:trPr>
        <w:tc>
          <w:tcPr>
            <w:tcW w:w="17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r>
              <w:rPr>
                <w:rFonts w:eastAsia="Times New Roman" w:cs="Times New Roman"/>
                <w:szCs w:val="24"/>
              </w:rPr>
              <w:t xml:space="preserve">Инцидент </w:t>
            </w:r>
          </w:p>
        </w:tc>
        <w:tc>
          <w:tcPr>
            <w:tcW w:w="17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Инцидент</w:t>
            </w:r>
          </w:p>
        </w:tc>
        <w:tc>
          <w:tcPr>
            <w:tcW w:w="5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Событие в работе Системы, не предусмотренное эксплуатационной документацией для штатного режима функционирования, ведущее или способное привести к недоступности Системы или деградации ее функциональности</w:t>
            </w:r>
          </w:p>
        </w:tc>
      </w:tr>
    </w:tbl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Все взаимодействия по вопросам технического сопровождения ЕИСЗ ПК осуществляются пользователем исключительно с сотрудником 1ЛП.</w:t>
      </w:r>
    </w:p>
    <w:p>
      <w:pPr>
        <w:pStyle w:val="345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Внесение Исполнителем изменений в информацию, хранящуюся в Системе, в виде удаления или редактирования </w:t>
      </w:r>
      <w:r>
        <w:rPr>
          <w:color w:val="000000"/>
          <w:sz w:val="24"/>
          <w:szCs w:val="24"/>
          <w:lang w:eastAsia="ru-RU"/>
        </w:rPr>
        <w:t xml:space="preserve">записей/случаев</w:t>
      </w:r>
      <w:r>
        <w:rPr>
          <w:sz w:val="24"/>
          <w:szCs w:val="24"/>
        </w:rPr>
        <w:t xml:space="preserve"> осуществляется только на основании Запроса, направленного уполномоченным лицом.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Пользователь при оформлении Заявки в СТП предоставляет следующую информацию:</w:t>
      </w:r>
    </w:p>
    <w:p>
      <w:pPr>
        <w:pStyle w:val="a5"/>
        <w:numPr>
          <w:numId w:val="25"/>
          <w:ilvl w:val="0"/>
        </w:numPr>
        <w:spacing w:after="0" w:line="360" w:lineRule="auto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наименование медицинской организации;</w:t>
      </w:r>
    </w:p>
    <w:p>
      <w:pPr>
        <w:pStyle w:val="a5"/>
        <w:numPr>
          <w:numId w:val="25"/>
          <w:ilvl w:val="0"/>
        </w:numPr>
        <w:spacing w:after="0" w:line="360" w:lineRule="auto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УЗ пользователя</w:t>
      </w:r>
      <w:r>
        <w:rPr>
          <w:rFonts w:eastAsia="Times New Roman" w:cs="Times New Roman"/>
          <w:szCs w:val="24"/>
          <w:lang w:eastAsia="ru-RU" w:bidi="en-US"/>
        </w:rPr>
        <w:t xml:space="preserve">, под которой обнаружена ошибка или некорректная работа функционала</w:t>
      </w:r>
      <w:r>
        <w:rPr>
          <w:rFonts w:eastAsia="Times New Roman" w:cs="Times New Roman"/>
          <w:szCs w:val="24"/>
          <w:lang w:eastAsia="ru-RU" w:bidi="en-US"/>
        </w:rPr>
        <w:t xml:space="preserve">;</w:t>
      </w:r>
    </w:p>
    <w:p>
      <w:pPr>
        <w:pStyle w:val="a5"/>
        <w:numPr>
          <w:numId w:val="25"/>
          <w:ilvl w:val="0"/>
        </w:numPr>
        <w:spacing w:after="0" w:line="360" w:lineRule="auto"/>
      </w:pPr>
      <w:r>
        <w:rPr>
          <w:rFonts w:eastAsia="Times New Roman" w:cs="Times New Roman"/>
          <w:szCs w:val="24"/>
          <w:lang w:eastAsia="ru-RU" w:bidi="en-US"/>
        </w:rPr>
        <w:t xml:space="preserve">описание </w:t>
      </w:r>
      <w:r>
        <w:rPr>
          <w:rFonts w:eastAsia="Times New Roman" w:cs="Times New Roman"/>
          <w:szCs w:val="24"/>
          <w:lang w:eastAsia="ru-RU" w:bidi="en-US"/>
        </w:rPr>
        <w:t xml:space="preserve">проблемы/вопроса</w:t>
      </w:r>
    </w:p>
    <w:p>
      <w:pPr>
        <w:pStyle w:val="345"/>
        <w:rPr>
          <w:sz w:val="24"/>
          <w:szCs w:val="24"/>
        </w:rPr>
      </w:pPr>
      <w:r>
        <w:rPr>
          <w:sz w:val="24"/>
          <w:szCs w:val="24"/>
        </w:rPr>
        <w:t xml:space="preserve">При поступлении в СУЗ Запроса на изменение информации, хранящейся в Системе, специалист СТП проверяет наличие Ф. И. О. и адреса электронной почты отправителя Запроса в Списке уполномоченных лиц. В случае отсутствия данных об Инициаторе Запроса в Списке уполномоченных лиц специалист СТП направляет отказ о выполнении Запроса на электронный адрес Инициатора. </w:t>
      </w:r>
    </w:p>
    <w:p>
      <w:pPr>
        <w:pStyle w:val="345"/>
        <w:rPr>
          <w:sz w:val="24"/>
          <w:szCs w:val="24"/>
        </w:rPr>
      </w:pPr>
      <w:r>
        <w:rPr>
          <w:sz w:val="24"/>
          <w:szCs w:val="24"/>
        </w:rPr>
        <w:t xml:space="preserve">Запрос на изменение информации, хранящейся в Системе, не подлежит регистрации по телефону. Дополнительная консультация и дальнейшая работа по таким Запросам не предусмотрены.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В зависимости от типа Заявки, описание должно содержать все данные, необходимые для ее решения. Требования к описанию Заявки представлены в таблице ниже (</w:t>
      </w:r>
      <w:r>
        <w:fldChar w:fldCharType="begin"/>
      </w:r>
      <w:r>
        <w:instrText xml:space="preserve"> REF _Ref172648961 \h </w:instrText>
      </w:r>
      <w:r>
        <w:fldChar w:fldCharType="separate"/>
      </w:r>
      <w:r>
        <w:t xml:space="preserve">Таблица 4</w:t>
      </w:r>
      <w:r>
        <w:fldChar w:fldCharType="end"/>
      </w:r>
      <w:r>
        <w:rPr>
          <w:rFonts w:eastAsia="Times New Roman" w:cs="Times New Roman"/>
          <w:color w:val="000000"/>
          <w:szCs w:val="24"/>
        </w:rPr>
        <w:t xml:space="preserve">).</w:t>
      </w:r>
    </w:p>
    <w:p>
      <w:pPr>
        <w:spacing w:after="0" w:line="360" w:lineRule="auto"/>
        <w:ind w:firstLine="851"/>
        <w:jc w:val="both"/>
      </w:pPr>
    </w:p>
    <w:p>
      <w:pPr>
        <w:keepNext/>
        <w:spacing w:before="120" w:after="120"/>
        <w:jc w:val="both"/>
      </w:pPr>
      <w:bookmarkStart w:id="28" w:name="_Ref172648961"/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4</w:t>
      </w:r>
      <w:r>
        <w:fldChar w:fldCharType="end"/>
      </w:r>
      <w:bookmarkEnd w:id="28"/>
      <w:r>
        <w:t xml:space="preserve"> </w:t>
      </w:r>
      <w:r>
        <w:rPr>
          <w:rFonts w:eastAsia="Arial Unicode MS" w:cs="Times New Roman"/>
          <w:bCs/>
          <w:szCs w:val="24"/>
          <w:lang w:bidi="en-US"/>
        </w:rPr>
        <w:t xml:space="preserve">– </w:t>
      </w:r>
      <w:r>
        <w:rPr>
          <w:rFonts w:eastAsia="Times New Roman" w:cs="Times New Roman"/>
          <w:bCs/>
          <w:szCs w:val="24"/>
        </w:rPr>
        <w:t xml:space="preserve">Требования к описанию Заявки</w:t>
      </w:r>
    </w:p>
    <w:tbl>
      <w:tblPr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5"/>
        <w:gridCol w:w="7210"/>
      </w:tblGrid>
      <w:tr>
        <w:tc>
          <w:tcPr>
            <w:tcW w:w="21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 xml:space="preserve">Тип Заявки</w:t>
            </w:r>
          </w:p>
        </w:tc>
        <w:tc>
          <w:tcPr>
            <w:tcW w:w="7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 xml:space="preserve">Описание типа</w:t>
            </w:r>
          </w:p>
        </w:tc>
      </w:tr>
      <w:tr>
        <w:trPr>
          <w:trHeight w:val="405"/>
        </w:trPr>
        <w:tc>
          <w:tcPr>
            <w:tcW w:w="21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Для всех типов Заявок</w:t>
            </w:r>
          </w:p>
        </w:tc>
        <w:tc>
          <w:tcPr>
            <w:tcW w:w="7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 xml:space="preserve">АРМ/Модуля/Подсистемы</w:t>
            </w:r>
            <w:r>
              <w:rPr>
                <w:rFonts w:cs="Times New Roman"/>
                <w:szCs w:val="24"/>
              </w:rPr>
              <w:t xml:space="preserve"> ЕИСЗ ПК</w:t>
            </w:r>
          </w:p>
        </w:tc>
      </w:tr>
      <w:tr>
        <w:trPr>
          <w:trHeight w:val="30"/>
        </w:trPr>
        <w:tc>
          <w:tcPr>
            <w:tcW w:w="21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Инцидент</w:t>
            </w:r>
          </w:p>
        </w:tc>
        <w:tc>
          <w:tcPr>
            <w:tcW w:w="7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пошаговое перечисление действий, выполнение которых повлекло за собой возникновение ошибки; 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снимок экрана с ошибкой;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наименование экранной формы и ссылка на страницу, где была зафиксирована ошибка;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техническую информацию об ошибке (содержимое консоли интернет-браузера на момент возникновения ошибки; текст ошибки, отображаемый ЕИСЗ ПК)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дополнительные файлы (в случае необходимости);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описание желаемого результата исправления ошибки</w:t>
            </w:r>
          </w:p>
        </w:tc>
      </w:tr>
      <w:tr>
        <w:trPr>
          <w:trHeight w:val="180"/>
        </w:trPr>
        <w:tc>
          <w:tcPr>
            <w:tcW w:w="21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Запрос на изменение</w:t>
            </w:r>
          </w:p>
        </w:tc>
        <w:tc>
          <w:tcPr>
            <w:tcW w:w="7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основание для выполнения модификации;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описание требуемой модификации;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описание полей;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описание порядка отбора данных для формирования отчетов;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иные требования на усмотрение Администратора МО</w:t>
            </w:r>
          </w:p>
        </w:tc>
      </w:tr>
      <w:tr>
        <w:trPr>
          <w:trHeight w:val="180"/>
        </w:trPr>
        <w:tc>
          <w:tcPr>
            <w:tcW w:w="21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Информационный запрос</w:t>
            </w:r>
          </w:p>
        </w:tc>
        <w:tc>
          <w:tcPr>
            <w:tcW w:w="7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a5"/>
              <w:numPr>
                <w:numId w:val="26"/>
                <w:ilvl w:val="0"/>
              </w:numPr>
              <w:spacing w:line="276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наименование АРМ и/или функции модуля (при необходимости);</w:t>
            </w:r>
          </w:p>
          <w:p>
            <w:pPr>
              <w:pStyle w:val="a5"/>
              <w:numPr>
                <w:numId w:val="26"/>
                <w:ilvl w:val="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суть запроса</w:t>
            </w:r>
          </w:p>
        </w:tc>
      </w:tr>
    </w:tbl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При описании Заявки должны соблюдаться следующие рекомендации: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наименование Заявки должно отображать его содержание. Рекомендуется использовать:</w:t>
      </w:r>
    </w:p>
    <w:p>
      <w:pPr>
        <w:pStyle w:val="ScrollListBullet2"/>
        <w:numPr>
          <w:numId w:val="16"/>
          <w:ilvl w:val="1"/>
        </w:numPr>
        <w:tabs>
          <w:tab w:val="left" w:pos="1780"/>
        </w:tabs>
        <w:ind w:left="1780" w:hanging="465"/>
      </w:pPr>
      <w:r>
        <w:t xml:space="preserve">глаголы, передающие действия, например, предоставить, закрыть, исправить;</w:t>
      </w:r>
    </w:p>
    <w:p>
      <w:pPr>
        <w:pStyle w:val="ScrollListBullet2"/>
        <w:numPr>
          <w:numId w:val="16"/>
          <w:ilvl w:val="1"/>
        </w:numPr>
        <w:tabs>
          <w:tab w:val="left" w:pos="1780"/>
        </w:tabs>
        <w:ind w:left="1780" w:hanging="465"/>
      </w:pPr>
      <w:r>
        <w:t xml:space="preserve">существительные, передающие суть задачи для удобства поиска задачи в дальнейшем.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в описании типа Заявки «Инцидент» должно быть указано пошаговое воспроизведение ошибки – условия воспроизведения (регион, адрес веб-сервера, УЗ (без пароля), версия операционной системы и браузера), подробное описание последовательности действий, приводящих к ошибке. При возможности должна быть предоставлена видеозапись с воспроизведением ошибки;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тип Заявки «Инцидент» должен содержать описание ожидаемого результата с описанием корректной работы компонента ЕИСЗ ПК, в котором обнаружена ошибка;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снимки экрана должны быть полноэкранными. Не допускаются снимки части экрана;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в случае ошибки с типом «Неверно сформированный ответ сервера» обязательно предоставление текста ошибки из консоли разработчика</w:t>
      </w:r>
      <w:r>
        <w:t xml:space="preserve"> (кнопка </w:t>
      </w:r>
      <w:r>
        <w:rPr>
          <w:lang w:val="en-US"/>
        </w:rPr>
        <w:t xml:space="preserve">F</w:t>
      </w:r>
      <w:r>
        <w:t xml:space="preserve">12 </w:t>
      </w:r>
      <w:r>
        <w:t xml:space="preserve">на клавиатуре</w:t>
      </w:r>
      <w:r>
        <w:t xml:space="preserve">)</w:t>
      </w:r>
      <w:r>
        <w:t xml:space="preserve">, а также копирование http-запроса (с параметрами), выдавшего ошибку.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Заявка, оформленная по установленной форме, направляется пользователем в СТП Исполнителя.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Заявке присваивается уникальный регистрационный номер. Данный номер сообщается пользователю и служит для однозначной идентификации Заявки. При дальнейшем взаимодействии со специалистом СТП Пользователь использует регистрационный номер Заявки, указанный в уведомлении или сообщенный в процессе консультации 1ЛП по телефону.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Внесение изменений в настройки ЕИСЗ ПК, действующие </w:t>
      </w:r>
      <w:r>
        <w:rPr>
          <w:rFonts w:eastAsia="Times New Roman" w:cs="Times New Roman"/>
          <w:color w:val="000000"/>
          <w:szCs w:val="24"/>
        </w:rPr>
        <w:t xml:space="preserve">на несколько медицинских организаций (региональные настройки системы),</w:t>
      </w:r>
      <w:r>
        <w:rPr>
          <w:rFonts w:eastAsia="Times New Roman" w:cs="Times New Roman"/>
          <w:color w:val="000000"/>
          <w:szCs w:val="24"/>
        </w:rPr>
        <w:t xml:space="preserve"> являются компетенцией функционального заказчика. 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color w:val="000000"/>
          <w:szCs w:val="24"/>
        </w:rPr>
        <w:t xml:space="preserve">Исполнитель может внести изменения в региональные настройки системы по заявке от представителя функционального заказчика в СТП исполнителя, либо через официальное письмо. </w:t>
      </w:r>
      <w:r>
        <w:rPr>
          <w:szCs w:val="24"/>
        </w:rPr>
        <w:t xml:space="preserve">При поступлении в СУЗ Запроса на изменение в </w:t>
      </w:r>
      <w:r>
        <w:rPr>
          <w:rFonts w:eastAsia="Times New Roman" w:cs="Times New Roman"/>
          <w:color w:val="000000"/>
          <w:szCs w:val="24"/>
        </w:rPr>
        <w:t xml:space="preserve">региональные настройки системы</w:t>
      </w:r>
      <w:r>
        <w:rPr>
          <w:szCs w:val="24"/>
        </w:rPr>
        <w:t xml:space="preserve">, специалист СТП проверяет наличие Ф. И. О. и адреса электронной почты отправителя Запроса в Списке представителей функционального заказчика. В случае отсутствия данных об Инициаторе в Списке представителей функционального заказчика специалист СТП направляет отказ о выполнении Запроса на электронный адрес Инициатора.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color w:val="000000"/>
          <w:szCs w:val="24"/>
        </w:rPr>
        <w:t xml:space="preserve">По заявкам, поступившим в СТП, оформление которых не соответствует требованиям, изложенным в </w:t>
      </w:r>
      <w:r>
        <w:t xml:space="preserve">Едином регламенте оказания услуг</w:t>
      </w:r>
      <w:r>
        <w:rPr>
          <w:rFonts w:eastAsia="Times New Roman" w:cs="Times New Roman"/>
          <w:color w:val="000000"/>
          <w:szCs w:val="24"/>
        </w:rPr>
        <w:t xml:space="preserve">, пользователю высылается уведомление о необходимости соблюдения требований к оформлению Заявки. Такие Заявки рассматриваются СТП только после получения информации, оформленной в соответствии с требованиями </w:t>
      </w:r>
      <w:r>
        <w:t xml:space="preserve">Единого регламента оказания услуг</w:t>
      </w:r>
      <w:r>
        <w:rPr>
          <w:rFonts w:eastAsia="Times New Roman" w:cs="Times New Roman"/>
          <w:color w:val="000000"/>
          <w:szCs w:val="24"/>
        </w:rPr>
        <w:t xml:space="preserve">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По результатам обработки Заявки специалист Контакт-центра предоставляет пользователю информацию по решению Заявки. Факт предоставления решения по Заявке фиксируется путем установки соответствующего статуса.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Подтверждение состояния «Решен» происходит после изменения статуса и оповещения Инициатора Заявки об изменении статуса по электронной почте. После предоставления решения по Заявке, пользователь должен проверить решение в течение 5 (пяти) рабочих дней. В случае, если Инициатор не согласен с решением, Заявка возвращается в статус «Назначен». Пользователь должен предоставить обоснование несогласия с решением</w:t>
      </w:r>
      <w:r>
        <w:rPr>
          <w:rFonts w:eastAsia="Times New Roman" w:cs="Times New Roman"/>
          <w:color w:val="000000"/>
          <w:szCs w:val="24"/>
        </w:rPr>
        <w:t xml:space="preserve">, </w:t>
      </w:r>
      <w:r>
        <w:rPr>
          <w:rFonts w:eastAsia="Times New Roman" w:cs="Times New Roman"/>
          <w:color w:val="000000"/>
          <w:szCs w:val="24"/>
        </w:rPr>
        <w:t xml:space="preserve">направив информацию на электронную почту СТП или СУЗ Исполнителя</w:t>
      </w:r>
      <w:r>
        <w:rPr>
          <w:rFonts w:eastAsia="Times New Roman" w:cs="Times New Roman"/>
          <w:color w:val="000000"/>
          <w:szCs w:val="24"/>
        </w:rPr>
        <w:t xml:space="preserve">.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Если несогласие с решением Заявки не связано с исходным содержанием, то текущая Заявка переводится в статус «Закрыт» и регистрируется новая.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Перевод Заявки в статус «Закрыт» может происходить либо после подтверждения Инициатором статуса «Решен», либо автоматически через 5 (пять) рабочих дней после перевода запроса в статус «Решен» в случае отсутствия подтверждения. Закрытые заявки повторному открытию не подлежат.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Расчет Времени решения производится с момента создания Заявки до момента перехода в статус «Решен». В случае перехода Заявки в статус «Закрыт» счетчик прекращает свою работу и не подлежит возобновлению. В случае перевода Заявки в </w:t>
      </w:r>
      <w:r>
        <w:rPr>
          <w:rFonts w:eastAsia="Times New Roman" w:cs="Times New Roman"/>
          <w:color w:val="000000"/>
          <w:szCs w:val="24"/>
        </w:rPr>
        <w:t xml:space="preserve">статус «В ожидании» счетчик приостанавливается. В случае возврата Заявки в статус «Назначен» счетчик возобновляет отсчет с места остановки.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Перевод Заявки в статус «В ожидании» возможен в следующих случаях: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в случае, если в Заявке отсутствуют сведения, достаточные для его успешного решения;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если для продолжения работ по решению требуется действие со стороны Инициатора Заявки, либо Заказчика, либо стороннего поставщика системного ПО и оборудования;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в случае отсутствия согласования Заказчика на проведение работ, не смотря на техническую готовность их проведения.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Срок подготовки и предоставления дополнительной информации Инициатором не может превышать 5 (пяти) рабочих дней, в противном случае Заявка автоматически будет переведена в статус «Закрыт». 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color w:val="000000"/>
          <w:szCs w:val="24"/>
        </w:rPr>
        <w:t xml:space="preserve">При запросе дополнительной информации или требовании выполнения действий со стороны Заказчика необходимо указывать:</w:t>
      </w:r>
    </w:p>
    <w:p>
      <w:pPr>
        <w:pStyle w:val="--2"/>
      </w:pPr>
      <w:r>
        <w:rPr>
          <w:rStyle w:val="-8"/>
          <w:rFonts w:eastAsia="Yu Mincho"/>
        </w:rPr>
        <w:t xml:space="preserve">регистрационный номер Заявки;</w:t>
      </w:r>
    </w:p>
    <w:p>
      <w:pPr>
        <w:pStyle w:val="--2"/>
        <w:rPr>
          <w:rStyle w:val="-8"/>
          <w:rFonts w:eastAsia="Calibri"/>
          <w:lang w:eastAsia="en-US"/>
        </w:rPr>
      </w:pPr>
      <w:r>
        <w:rPr>
          <w:rStyle w:val="-8"/>
          <w:rFonts w:eastAsia="Yu Mincho"/>
        </w:rPr>
        <w:t xml:space="preserve">перечень дополнительной информации и список действий, которые необходимо проделать.</w:t>
      </w:r>
    </w:p>
    <w:p>
      <w:pPr>
        <w:pStyle w:val="20"/>
        <w:rPr>
          <w:rFonts w:ascii="Times New Roman" w:hAnsi="Times New Roman"/>
        </w:rPr>
      </w:pPr>
      <w:bookmarkStart w:id="29" w:name="_Toc237433485"/>
      <w:r>
        <w:rPr>
          <w:rFonts w:ascii="Times New Roman" w:hAnsi="Times New Roman"/>
        </w:rPr>
        <w:t xml:space="preserve">Порядок получения доступа пользователям ЕИСЗ ПК к СУЗ исполнителя</w:t>
      </w:r>
      <w:bookmarkEnd w:id="29"/>
      <w:r>
        <w:rPr>
          <w:rFonts w:ascii="Times New Roman" w:hAnsi="Times New Roman"/>
        </w:rPr>
        <w:t xml:space="preserve">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Доступ к СУЗ Исполнителя предоставляется по запросу Заказчика, направленному в адрес уполномоченных специалистов Исполнителя в срок, не превышающий 5 рабочих дней с даты получения запроса. Запрос должен быть направлен по форме, предоставленной исполнителем для заполнения.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 форме указывается: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ФИО пользователя медицинской организации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Наименование медицинской организации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Должность </w:t>
      </w:r>
    </w:p>
    <w:p>
      <w:pPr>
        <w:spacing w:after="0" w:line="360" w:lineRule="auto"/>
        <w:ind w:firstLine="851"/>
        <w:jc w:val="both"/>
        <w:rPr>
          <w:rFonts w:ascii="Arial" w:hAnsi="Arial" w:eastAsia="Arial"/>
          <w:sz w:val="22"/>
        </w:rPr>
      </w:pPr>
      <w:r>
        <w:rPr>
          <w:rFonts w:eastAsia="Times New Roman" w:cs="Times New Roman"/>
          <w:szCs w:val="24"/>
        </w:rPr>
        <w:t xml:space="preserve">- </w:t>
      </w:r>
      <w:r>
        <w:rPr>
          <w:rFonts w:eastAsia="Times New Roman" w:cs="Times New Roman"/>
          <w:szCs w:val="24"/>
          <w:lang w:val="en-US"/>
        </w:rPr>
        <w:t xml:space="preserve">email</w:t>
      </w:r>
      <w:r>
        <w:rPr>
          <w:rFonts w:eastAsia="Times New Roman" w:cs="Times New Roman"/>
          <w:szCs w:val="24"/>
        </w:rPr>
        <w:t xml:space="preserve"> в домене </w:t>
      </w:r>
      <w:r>
        <w:rPr>
          <w:rFonts w:eastAsia="Arial" w:cs="Times New Roman"/>
          <w:szCs w:val="24"/>
        </w:rPr>
        <w:t xml:space="preserve">@xxx.permkrai.ru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Заявки, содержащие публичные почтовые сервера (</w:t>
      </w:r>
      <w:r>
        <w:rPr>
          <w:rFonts w:eastAsia="Arial" w:cs="Times New Roman"/>
          <w:szCs w:val="24"/>
          <w:lang w:val="en-US"/>
        </w:rPr>
        <w:t xml:space="preserve">mail</w:t>
      </w:r>
      <w:r>
        <w:rPr>
          <w:rFonts w:eastAsia="Arial" w:cs="Times New Roman"/>
          <w:szCs w:val="24"/>
        </w:rPr>
        <w:t xml:space="preserve">.</w:t>
      </w:r>
      <w:r>
        <w:rPr>
          <w:rFonts w:eastAsia="Arial" w:cs="Times New Roman"/>
          <w:szCs w:val="24"/>
          <w:lang w:val="en-US"/>
        </w:rPr>
        <w:t xml:space="preserve">ru</w:t>
      </w:r>
      <w:r>
        <w:rPr>
          <w:rFonts w:eastAsia="Arial" w:cs="Times New Roman"/>
          <w:szCs w:val="24"/>
        </w:rPr>
        <w:t xml:space="preserve">, </w:t>
      </w:r>
      <w:r>
        <w:rPr>
          <w:rFonts w:eastAsia="Arial" w:cs="Times New Roman"/>
          <w:szCs w:val="24"/>
          <w:lang w:val="en-US"/>
        </w:rPr>
        <w:t xml:space="preserve">yandex</w:t>
      </w:r>
      <w:r>
        <w:rPr>
          <w:rFonts w:eastAsia="Arial" w:cs="Times New Roman"/>
          <w:szCs w:val="24"/>
        </w:rPr>
        <w:t xml:space="preserve">.</w:t>
      </w:r>
      <w:r>
        <w:rPr>
          <w:rFonts w:eastAsia="Arial" w:cs="Times New Roman"/>
          <w:szCs w:val="24"/>
          <w:lang w:val="en-US"/>
        </w:rPr>
        <w:t xml:space="preserve">ru</w:t>
      </w:r>
      <w:r>
        <w:rPr>
          <w:rFonts w:eastAsia="Arial" w:cs="Times New Roman"/>
          <w:szCs w:val="24"/>
        </w:rPr>
        <w:t xml:space="preserve"> и подобные) не допускаются к исполнению, за исключением случаев заявок</w:t>
      </w:r>
      <w:r>
        <w:rPr>
          <w:rFonts w:eastAsia="Arial" w:cs="Times New Roman"/>
          <w:szCs w:val="24"/>
        </w:rPr>
        <w:t xml:space="preserve"> от</w:t>
      </w:r>
      <w:r>
        <w:rPr>
          <w:rFonts w:eastAsia="Arial" w:cs="Times New Roman"/>
          <w:szCs w:val="24"/>
        </w:rPr>
        <w:t xml:space="preserve"> частных медицинских организаций. Данные заявки должны быть направлены Заказчику со стороны Функционального заказчика и использовать только Российские сервисы.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Пользователи должны соблюдать следующие правила создания и использования учетных записей: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-  Персонализированная электронная почта (соответствие ФИО электронной почте, пример: Иванов Борис Александрович — ivanovba@...);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-  Не допускается использование зарубежных доменов почтовых платформ;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- Общие имена электронной почты (запрещено применение общих имен как: admin@, glavvrach@, buz@, priem@, stat@, mail@</w:t>
      </w:r>
      <w:r>
        <w:rPr>
          <w:rFonts w:eastAsia="Arial" w:cs="Times New Roman"/>
          <w:szCs w:val="24"/>
        </w:rPr>
        <w:t xml:space="preserve">, </w:t>
      </w:r>
      <w:r>
        <w:rPr>
          <w:rFonts w:eastAsia="Arial" w:cs="Times New Roman"/>
          <w:szCs w:val="24"/>
        </w:rPr>
        <w:t xml:space="preserve">info@</w:t>
      </w:r>
      <w:r>
        <w:rPr>
          <w:rFonts w:eastAsia="Arial" w:cs="Times New Roman"/>
          <w:szCs w:val="24"/>
        </w:rPr>
        <w:t xml:space="preserve"> и т.п.)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- запрещается использование учетной записи двум и более лицам;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По всем вопросам, касающимся доступа в ТП исполнителя, взаимодействие происходит через заказчика. </w:t>
      </w:r>
    </w:p>
    <w:p>
      <w:pPr>
        <w:pStyle w:val="20"/>
        <w:rPr>
          <w:rFonts w:ascii="Times New Roman" w:hAnsi="Times New Roman"/>
        </w:rPr>
      </w:pPr>
      <w:bookmarkStart w:id="30" w:name="_Toc237433486"/>
      <w:r>
        <w:rPr>
          <w:rFonts w:ascii="Times New Roman" w:hAnsi="Times New Roman"/>
        </w:rPr>
        <w:t xml:space="preserve">Порядок парольной защиты в ЕИСЗ ПК</w:t>
      </w:r>
      <w:bookmarkEnd w:id="30"/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Для доступа к веб-интерфейсу системы должны использоваться исключительно персонализированные учетные записи. 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Пользователи должны соблюдать </w:t>
      </w:r>
      <w:r>
        <w:rPr>
          <w:rFonts w:eastAsia="Arial" w:cs="Times New Roman"/>
          <w:szCs w:val="24"/>
        </w:rPr>
        <w:t xml:space="preserve">правила </w:t>
      </w:r>
      <w:r>
        <w:rPr>
          <w:rFonts w:eastAsia="Arial" w:cs="Times New Roman"/>
          <w:szCs w:val="24"/>
        </w:rPr>
        <w:t xml:space="preserve">использования учетных записей и паролей</w:t>
      </w:r>
      <w:r>
        <w:rPr>
          <w:rFonts w:eastAsia="Arial" w:cs="Times New Roman"/>
          <w:szCs w:val="24"/>
        </w:rPr>
        <w:t xml:space="preserve"> согласно </w:t>
      </w:r>
      <w:r>
        <w:rPr>
          <w:rFonts w:eastAsia="Arial" w:cs="Times New Roman"/>
          <w:szCs w:val="24"/>
        </w:rPr>
        <w:t xml:space="preserve">требов</w:t>
      </w:r>
      <w:r>
        <w:rPr>
          <w:rFonts w:eastAsia="Arial" w:cs="Times New Roman"/>
          <w:szCs w:val="24"/>
        </w:rPr>
        <w:t xml:space="preserve">аниям</w:t>
      </w:r>
      <w:r>
        <w:rPr>
          <w:rFonts w:eastAsia="Arial" w:cs="Times New Roman"/>
          <w:szCs w:val="24"/>
        </w:rPr>
        <w:t xml:space="preserve"> по организации парольной защиты</w:t>
      </w:r>
      <w:r>
        <w:rPr>
          <w:rFonts w:eastAsia="Arial" w:cs="Times New Roman"/>
          <w:szCs w:val="24"/>
        </w:rPr>
        <w:t xml:space="preserve">,</w:t>
      </w:r>
      <w:r>
        <w:rPr>
          <w:rFonts w:eastAsia="Arial" w:cs="Times New Roman"/>
          <w:szCs w:val="24"/>
        </w:rPr>
        <w:t xml:space="preserve"> в соответствии с приказом МЗ ПК от 15.04.2026 №34-01-03-422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Временный пароль (для СУЗ):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При обращении пользователя за сбросом пароля в СУЗ ему выдается временный пароль сроком действия – 10 календарных дней. Если в течение 10 дней временный пароль не будет изменён на постоянный – учетная запись блокируется. Обращения для сброса пароля в СУЗ подаются в СТП исполнителя. 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</w:p>
    <w:p>
      <w:pPr>
        <w:pStyle w:val="20"/>
        <w:rPr>
          <w:rFonts w:ascii="Times New Roman" w:hAnsi="Times New Roman"/>
        </w:rPr>
      </w:pPr>
      <w:bookmarkStart w:id="31" w:name="_Toc237433487"/>
      <w:r>
        <w:rPr>
          <w:rFonts w:ascii="Times New Roman" w:hAnsi="Times New Roman"/>
        </w:rPr>
        <w:t xml:space="preserve">Порядок </w:t>
      </w:r>
      <w:bookmarkEnd w:id="31"/>
      <w:r>
        <w:rPr>
          <w:rFonts w:ascii="Times New Roman" w:hAnsi="Times New Roman"/>
        </w:rPr>
        <w:t xml:space="preserve">направления заявок уполномоченными лицами в службу технической поддержки Единой информационной системы здравоохранения Пермского края</w:t>
      </w:r>
    </w:p>
    <w:p>
      <w:pPr>
        <w:pStyle w:val="345"/>
        <w:rPr>
          <w:sz w:val="24"/>
          <w:szCs w:val="24"/>
        </w:rPr>
      </w:pPr>
      <w:r>
        <w:rPr>
          <w:sz w:val="24"/>
          <w:szCs w:val="24"/>
        </w:rPr>
        <w:t xml:space="preserve">Функциональный заказчик направляет Заказчику Список уполномоченных лиц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. Заказчик направляет Исполнителю Список уполномоченных лиц, полученный от Функционального заказчика.</w:t>
      </w:r>
    </w:p>
    <w:p>
      <w:pPr>
        <w:pStyle w:val="345"/>
        <w:rPr>
          <w:sz w:val="24"/>
          <w:szCs w:val="24"/>
        </w:rPr>
      </w:pPr>
      <w:r>
        <w:rPr>
          <w:sz w:val="24"/>
          <w:szCs w:val="24"/>
        </w:rPr>
        <w:t xml:space="preserve">В случае изменения Списка уполномоченных лиц Функциональный заказчик направляет Заказчику обновленный список по форме </w:t>
      </w:r>
      <w:r>
        <w:rPr>
          <w:bCs/>
          <w:sz w:val="24"/>
          <w:szCs w:val="24"/>
        </w:rPr>
        <w:t xml:space="preserve">Приложения 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_Ref172647766 \h  \* MERGEFORMAT </w:instrTex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  <w:fldChar w:fldCharType="separate"/>
      </w:r>
      <w:r>
        <w:rPr>
          <w:szCs w:val="32"/>
        </w:rPr>
        <w:t xml:space="preserve">Е</w:t>
      </w:r>
      <w:r>
        <w:rPr>
          <w:bCs/>
          <w:sz w:val="24"/>
          <w:szCs w:val="24"/>
        </w:rPr>
        <w:fldChar w:fldCharType="end"/>
      </w:r>
      <w:r>
        <w:rPr>
          <w:sz w:val="24"/>
          <w:szCs w:val="24"/>
        </w:rPr>
        <w:t xml:space="preserve">, который Заказчик направляет Исполнителю.</w:t>
      </w:r>
    </w:p>
    <w:p>
      <w:pPr>
        <w:pStyle w:val="345"/>
        <w:rPr>
          <w:sz w:val="24"/>
          <w:szCs w:val="24"/>
        </w:rPr>
      </w:pPr>
      <w:r>
        <w:rPr>
          <w:sz w:val="24"/>
          <w:szCs w:val="24"/>
        </w:rPr>
        <w:t xml:space="preserve">Список уполномоченных лиц содержит информацию: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ФИО пользователя медицинской организации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Наименование медицинской организации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Должность 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Контактные данные</w:t>
      </w:r>
    </w:p>
    <w:p>
      <w:pPr>
        <w:spacing w:after="0" w:line="360" w:lineRule="auto"/>
        <w:ind w:firstLine="851"/>
        <w:jc w:val="both"/>
        <w:rPr>
          <w:rFonts w:ascii="Arial" w:hAnsi="Arial" w:eastAsia="Arial"/>
          <w:sz w:val="22"/>
        </w:rPr>
      </w:pPr>
      <w:r>
        <w:rPr>
          <w:rFonts w:eastAsia="Times New Roman" w:cs="Times New Roman"/>
          <w:szCs w:val="24"/>
        </w:rPr>
        <w:t xml:space="preserve">- </w:t>
      </w:r>
      <w:r>
        <w:rPr>
          <w:rFonts w:eastAsia="Times New Roman" w:cs="Times New Roman"/>
          <w:szCs w:val="24"/>
          <w:lang w:val="en-US"/>
        </w:rPr>
        <w:t xml:space="preserve">email</w:t>
      </w:r>
      <w:r>
        <w:rPr>
          <w:rFonts w:eastAsia="Times New Roman" w:cs="Times New Roman"/>
          <w:szCs w:val="24"/>
        </w:rPr>
        <w:t xml:space="preserve"> в домене </w:t>
      </w:r>
      <w:r>
        <w:rPr>
          <w:rFonts w:eastAsia="Arial" w:cs="Times New Roman"/>
          <w:szCs w:val="24"/>
        </w:rPr>
        <w:t xml:space="preserve">@xxx.permkrai.ru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Использование публичных почтовых серверов (</w:t>
      </w:r>
      <w:r>
        <w:rPr>
          <w:rFonts w:eastAsia="Arial" w:cs="Times New Roman"/>
          <w:szCs w:val="24"/>
          <w:lang w:val="en-US"/>
        </w:rPr>
        <w:t xml:space="preserve">mail</w:t>
      </w:r>
      <w:r>
        <w:rPr>
          <w:rFonts w:eastAsia="Arial" w:cs="Times New Roman"/>
          <w:szCs w:val="24"/>
        </w:rPr>
        <w:t xml:space="preserve">.</w:t>
      </w:r>
      <w:r>
        <w:rPr>
          <w:rFonts w:eastAsia="Arial" w:cs="Times New Roman"/>
          <w:szCs w:val="24"/>
          <w:lang w:val="en-US"/>
        </w:rPr>
        <w:t xml:space="preserve">ru</w:t>
      </w:r>
      <w:r>
        <w:rPr>
          <w:rFonts w:eastAsia="Arial" w:cs="Times New Roman"/>
          <w:szCs w:val="24"/>
        </w:rPr>
        <w:t xml:space="preserve">, </w:t>
      </w:r>
      <w:r>
        <w:rPr>
          <w:rFonts w:eastAsia="Arial" w:cs="Times New Roman"/>
          <w:szCs w:val="24"/>
          <w:lang w:val="en-US"/>
        </w:rPr>
        <w:t xml:space="preserve">yandex</w:t>
      </w:r>
      <w:r>
        <w:rPr>
          <w:rFonts w:eastAsia="Arial" w:cs="Times New Roman"/>
          <w:szCs w:val="24"/>
        </w:rPr>
        <w:t xml:space="preserve">.</w:t>
      </w:r>
      <w:r>
        <w:rPr>
          <w:rFonts w:eastAsia="Arial" w:cs="Times New Roman"/>
          <w:szCs w:val="24"/>
          <w:lang w:val="en-US"/>
        </w:rPr>
        <w:t xml:space="preserve">ru</w:t>
      </w:r>
      <w:r>
        <w:rPr>
          <w:rFonts w:eastAsia="Arial" w:cs="Times New Roman"/>
          <w:szCs w:val="24"/>
        </w:rPr>
        <w:t xml:space="preserve"> и подобные) допускается только для частных медицинских организаций, если у таковых отсутствует доменный электронный адрес.  Допускаются только Российские сервисы. </w:t>
      </w:r>
    </w:p>
    <w:p>
      <w:pPr>
        <w:spacing w:after="0" w:line="360" w:lineRule="auto"/>
        <w:ind w:firstLine="851"/>
        <w:jc w:val="both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Подробный п</w:t>
      </w:r>
      <w:r>
        <w:rPr>
          <w:rFonts w:eastAsia="Arial" w:cs="Times New Roman"/>
          <w:szCs w:val="24"/>
        </w:rPr>
        <w:t xml:space="preserve">орядок направления заявок уполномоченными лицами в службу технической поддержки</w:t>
      </w:r>
      <w:r>
        <w:rPr>
          <w:rFonts w:eastAsia="Arial" w:cs="Times New Roman"/>
          <w:szCs w:val="24"/>
        </w:rPr>
        <w:t xml:space="preserve"> изложен в приложении </w:t>
      </w:r>
      <w:r>
        <w:rPr>
          <w:rFonts w:eastAsia="Arial" w:cs="Times New Roman"/>
          <w:szCs w:val="24"/>
        </w:rPr>
        <w:t xml:space="preserve">Б</w:t>
      </w:r>
      <w:r>
        <w:rPr>
          <w:rFonts w:eastAsia="Arial" w:cs="Times New Roman"/>
          <w:szCs w:val="24"/>
        </w:rPr>
        <w:t xml:space="preserve"> к настоящему документу.</w:t>
      </w:r>
    </w:p>
    <w:p>
      <w:pPr>
        <w:pStyle w:val="20"/>
      </w:pPr>
      <w:bookmarkStart w:id="32" w:name="_Toc41480310"/>
      <w:bookmarkStart w:id="33" w:name="_Ref48563173"/>
      <w:bookmarkStart w:id="34" w:name="_Toc130200515"/>
      <w:bookmarkStart w:id="35" w:name="_Toc237433488"/>
      <w:r>
        <w:t xml:space="preserve">Регистрация обращения</w:t>
      </w:r>
      <w:bookmarkEnd w:id="32"/>
      <w:bookmarkEnd w:id="33"/>
      <w:r>
        <w:t xml:space="preserve"> и инцидента (Заявок)</w:t>
      </w:r>
      <w:bookmarkEnd w:id="34"/>
      <w:bookmarkEnd w:id="35"/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Регистрация и первичная классификация Заявок производится сотрудниками Исполнителя (1ЛП) на основании Заявки пользователя Системы. При необходимости уточняется информация у Инициатора Заявки по зарегистрированной Заявке. Типы Заявок представлены в таблице 3. Схема процесса регистрации Заявок представлена ниже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_Ref172639222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Рисунок 1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):</w:t>
      </w:r>
    </w:p>
    <w:p>
      <w:pPr>
        <w:keepNext/>
        <w:spacing w:after="0" w:line="360" w:lineRule="auto"/>
        <w:ind w:firstLine="851"/>
      </w:pPr>
    </w:p>
    <w:p>
      <w:pPr>
        <w:keepNext/>
        <w:spacing w:after="0" w:line="360" w:lineRule="auto"/>
      </w:pPr>
      <w:r>
        <w:rPr>
          <w:rFonts w:cs="Times New Roman"/>
          <w:lang w:eastAsia="ru-RU"/>
        </w:rPr>
      </w:r>
      <w:r>
        <w:rPr>
          <w:rFonts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22620" cy="3627120"/>
                <wp:effectExtent l="0" t="0" r="0" b="0"/>
                <wp:docPr id="2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722620" cy="3627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0.60pt;height:285.6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ae"/>
        <w:jc w:val="center"/>
        <w:rPr>
          <w:rFonts w:eastAsia="Times New Roman" w:cs="Times New Roman"/>
          <w:iCs w:val="0"/>
          <w:szCs w:val="24"/>
          <w:lang w:eastAsia="ru-RU" w:bidi="en-US"/>
        </w:rPr>
      </w:pPr>
      <w:bookmarkStart w:id="36" w:name="_Ref172639222"/>
      <w:bookmarkStart w:id="37" w:name="_Ref85489256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</w:t>
      </w:r>
      <w:r>
        <w:fldChar w:fldCharType="end"/>
      </w:r>
      <w:bookmarkEnd w:id="36"/>
      <w:bookmarkEnd w:id="37"/>
      <w:r>
        <w:rPr>
          <w:rFonts w:eastAsia="Times New Roman" w:cs="Times New Roman"/>
          <w:iCs w:val="0"/>
          <w:szCs w:val="24"/>
          <w:lang w:eastAsia="ru-RU" w:bidi="en-US"/>
        </w:rPr>
        <w:t xml:space="preserve"> </w:t>
      </w:r>
      <w:r>
        <w:rPr>
          <w:rFonts w:eastAsia="Times New Roman" w:cs="Times New Roman"/>
          <w:szCs w:val="24"/>
          <w:lang w:eastAsia="ru-RU" w:bidi="en-US"/>
        </w:rPr>
        <w:t xml:space="preserve">– </w:t>
      </w:r>
      <w:r>
        <w:rPr>
          <w:rFonts w:eastAsia="Times New Roman" w:cs="Times New Roman"/>
          <w:iCs w:val="0"/>
          <w:szCs w:val="24"/>
          <w:lang w:eastAsia="ru-RU" w:bidi="en-US"/>
        </w:rPr>
        <w:t xml:space="preserve">Схема рег</w:t>
      </w:r>
      <w:bookmarkStart w:id="38" w:name="_Ref85448161"/>
      <w:r>
        <w:rPr>
          <w:rFonts w:eastAsia="Times New Roman" w:cs="Times New Roman"/>
          <w:iCs w:val="0"/>
          <w:szCs w:val="24"/>
          <w:lang w:eastAsia="ru-RU" w:bidi="en-US"/>
        </w:rPr>
        <w:t xml:space="preserve">истрации </w:t>
      </w:r>
      <w:bookmarkEnd w:id="38"/>
      <w:r>
        <w:rPr>
          <w:rFonts w:eastAsia="Times New Roman" w:cs="Times New Roman"/>
          <w:iCs w:val="0"/>
          <w:szCs w:val="24"/>
          <w:lang w:eastAsia="ru-RU" w:bidi="en-US"/>
        </w:rPr>
        <w:t xml:space="preserve">Заявки</w:t>
      </w:r>
    </w:p>
    <w:p>
      <w:pPr>
        <w:pStyle w:val="20"/>
      </w:pPr>
      <w:bookmarkStart w:id="39" w:name="_Toc41480311"/>
      <w:bookmarkStart w:id="40" w:name="_Ref48563187"/>
      <w:bookmarkStart w:id="41" w:name="_Ref85532881"/>
      <w:bookmarkStart w:id="42" w:name="_Toc130200516"/>
      <w:bookmarkStart w:id="43" w:name="_Toc237433489"/>
      <w:r>
        <w:t xml:space="preserve">Маршрутизация обращения</w:t>
      </w:r>
      <w:bookmarkEnd w:id="39"/>
      <w:bookmarkEnd w:id="40"/>
      <w:r>
        <w:t xml:space="preserve"> и инцидента (Заявок)</w:t>
      </w:r>
      <w:bookmarkEnd w:id="41"/>
      <w:bookmarkEnd w:id="42"/>
      <w:bookmarkEnd w:id="43"/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Работа с Заявками начинается по факту назначения на Исполнителя соответствующей Заявки в СУЗ (СКУФ). Основным результатом данного этапа является назначение Заявки в СУЗ (СКУФ) на Исполнителя этапа соответствующей ЛП, который будет производить дальнейшие работы по анализу и решению.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Исполнителем этапа может выступать: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сотрудник ДС (решение типовых Заявок по инструкции);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сотрудник 2ЛП (решение Заявок, требующих расширенного анализа и поиска решения).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Порядок выполнения этапа приведен на рисунке ниже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_Ref172639245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Рисунок 2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t xml:space="preserve">)</w:t>
      </w:r>
      <w:r>
        <w:rPr>
          <w:rFonts w:eastAsia="Times New Roman" w:cs="Times New Roman"/>
          <w:szCs w:val="24"/>
          <w:lang w:eastAsia="ru-RU" w:bidi="en-US"/>
        </w:rPr>
        <w:t xml:space="preserve">.</w:t>
      </w:r>
    </w:p>
    <w:p>
      <w:pPr>
        <w:keepNext/>
        <w:spacing w:after="0" w:line="360" w:lineRule="auto"/>
      </w:pPr>
      <w:r>
        <w:rPr>
          <w:rFonts w:cs="Times New Roman"/>
          <w:lang w:eastAsia="ru-RU"/>
        </w:rPr>
      </w:r>
      <w:r>
        <w:rPr>
          <w:rFonts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75960" cy="3489960"/>
                <wp:effectExtent l="0" t="0" r="0" b="0"/>
                <wp:docPr id="4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775960" cy="3489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4.80pt;height:274.8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ae"/>
        <w:keepNext/>
        <w:jc w:val="center"/>
      </w:pPr>
      <w:bookmarkStart w:id="44" w:name="_Ref172639245"/>
      <w:bookmarkStart w:id="45" w:name="_Ref85448395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2</w:t>
      </w:r>
      <w:r>
        <w:fldChar w:fldCharType="end"/>
      </w:r>
      <w:bookmarkEnd w:id="44"/>
      <w:r>
        <w:rPr>
          <w:rFonts w:eastAsia="Times New Roman" w:cs="Times New Roman"/>
          <w:iCs w:val="0"/>
          <w:szCs w:val="24"/>
          <w:lang w:eastAsia="ru-RU" w:bidi="en-US"/>
        </w:rPr>
        <w:t xml:space="preserve"> </w:t>
      </w:r>
      <w:r>
        <w:rPr>
          <w:rFonts w:eastAsia="Times New Roman" w:cs="Times New Roman"/>
          <w:szCs w:val="24"/>
          <w:lang w:eastAsia="ru-RU" w:bidi="en-US"/>
        </w:rPr>
        <w:t xml:space="preserve">– </w:t>
      </w:r>
      <w:r>
        <w:rPr>
          <w:rFonts w:eastAsia="Times New Roman" w:cs="Times New Roman"/>
          <w:iCs w:val="0"/>
          <w:szCs w:val="24"/>
          <w:lang w:eastAsia="ru-RU" w:bidi="en-US"/>
        </w:rPr>
        <w:t xml:space="preserve">Маршрутизация </w:t>
      </w:r>
      <w:bookmarkEnd w:id="45"/>
      <w:r>
        <w:rPr>
          <w:rFonts w:eastAsia="Times New Roman" w:cs="Times New Roman"/>
          <w:iCs w:val="0"/>
          <w:szCs w:val="24"/>
          <w:lang w:eastAsia="ru-RU" w:bidi="en-US"/>
        </w:rPr>
        <w:t xml:space="preserve">Заявки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Следующим этапом маршрутизации является этап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_Ref85532999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Первичная диагностика и анализ информации для решения обращения и инцидента (Заявок)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». Этап является итеративным, т.к. в отдельных ситуациях определение Исполнителя этапа соответствующей ЛП может происходить несколько раз.</w:t>
      </w:r>
    </w:p>
    <w:p>
      <w:pPr>
        <w:pStyle w:val="20"/>
      </w:pPr>
      <w:r>
        <w:rPr>
          <w:rFonts w:ascii="Calibri" w:hAnsi="Calibri"/>
        </w:rPr>
        <w:t xml:space="preserve"> </w:t>
      </w:r>
      <w:bookmarkStart w:id="46" w:name="_Ref85532999"/>
      <w:bookmarkStart w:id="47" w:name="_Toc130200517"/>
      <w:bookmarkStart w:id="48" w:name="_Toc237433490"/>
      <w:r>
        <w:t xml:space="preserve">Первичная диагностика и анализ информации для решения обращения и инцидента (Заявок)</w:t>
      </w:r>
      <w:bookmarkEnd w:id="46"/>
      <w:bookmarkEnd w:id="47"/>
      <w:bookmarkEnd w:id="48"/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На этапе первичной диагностики и анализа информации для решения Заявки производится воспроизведение ошибки, проверка указанных в описании Заявки ссылок и иных данных по Заявке. Результаты диагностики в обязательном порядке прикладываются </w:t>
      </w:r>
      <w:r>
        <w:rPr>
          <w:rFonts w:eastAsia="Times New Roman" w:cs="Times New Roman"/>
          <w:szCs w:val="24"/>
          <w:lang w:eastAsia="ru-RU" w:bidi="en-US"/>
        </w:rPr>
        <w:t xml:space="preserve">в комментарии к Заявке. Определяется необходимость получения дополнительной информации.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Основным результатом данного этапа является локализация ошибки, поиск причин её возникновения и анализ имеющейся информации на полноту и корректность, и, как следствие, запрос необходимой информации в случае необходимости.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Исполнителем этапа может являться: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сотрудник ДС (решение типовых Заявок по инструкции);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сотрудник 2ЛП (решение Заявок, требующих расширенного анализа и поиска решения).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Инициатором или регистратором Заявки может быть: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1ЛП (регистрация Заявок от пользователей);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ДС (регистрация выявленных по результатам инфраструктурного и функционального мониторинга).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В случае, если на этапе обнаруживается, что ошибка, заявленная Инициатором, не воспроизводится, то осуществляется переход к этапу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_Ref86224268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Проверка и подтверждение решения обращения и инцидента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Если по Заявке (в том числе Заявке с обнаружением ошибки) информации недостаточно для перехода к ее решению, нужны дополнительные данные\скриншоты и т.д., то Исполнителем запрашивается дополнительная информация от Инициатора. По факту получения информации от Инициатора Заявка возвращается на этап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_Ref85532881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rPr>
          <w:rFonts w:ascii="Calibri" w:hAnsi="Calibri"/>
        </w:rPr>
        <w:t xml:space="preserve"> </w:t>
      </w:r>
      <w:r>
        <w:t xml:space="preserve">Маршрутизация обращения и инцидента (Заявок)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Если ошибка воспроизводится и информации достаточно, то Исполнитель этапа переходит к этапу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_Ref85532955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Создание связей между идентичными инцидентами и обращениями (Заявок)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Порядок выполнения этапа приведена на рисунке ниже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_Ref172639276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Рисунок 3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):</w:t>
      </w:r>
    </w:p>
    <w:p>
      <w:pPr>
        <w:jc w:val="center"/>
      </w:pPr>
      <w:r>
        <w:rPr>
          <w:rFonts w:cs="Times New Roman"/>
          <w:lang w:eastAsia="ru-RU"/>
        </w:rPr>
      </w:r>
      <w:r>
        <w:rPr>
          <w:rFonts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42660" cy="3505200"/>
                <wp:effectExtent l="0" t="0" r="0" b="0"/>
                <wp:docPr id="6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6042660" cy="35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75.80pt;height:276.0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</w:p>
    <w:p>
      <w:pPr>
        <w:pStyle w:val="ae"/>
        <w:keepNext/>
        <w:jc w:val="center"/>
      </w:pPr>
      <w:bookmarkStart w:id="49" w:name="_Ref172639276"/>
      <w:bookmarkStart w:id="50" w:name="_Ref85489432"/>
      <w:bookmarkStart w:id="51" w:name="_Ref85448469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3</w:t>
      </w:r>
      <w:r>
        <w:fldChar w:fldCharType="end"/>
      </w:r>
      <w:bookmarkEnd w:id="49"/>
      <w:r>
        <w:rPr>
          <w:rFonts w:eastAsia="Times New Roman" w:cs="Times New Roman"/>
          <w:iCs w:val="0"/>
          <w:szCs w:val="24"/>
          <w:lang w:eastAsia="ru-RU" w:bidi="en-US"/>
        </w:rPr>
        <w:t xml:space="preserve"> </w:t>
      </w:r>
      <w:r>
        <w:rPr>
          <w:rFonts w:eastAsia="Times New Roman" w:cs="Times New Roman"/>
          <w:szCs w:val="24"/>
          <w:lang w:eastAsia="ru-RU" w:bidi="en-US"/>
        </w:rPr>
        <w:t xml:space="preserve">– </w:t>
      </w:r>
      <w:bookmarkEnd w:id="50"/>
      <w:r>
        <w:rPr>
          <w:rFonts w:eastAsia="Times New Roman" w:cs="Times New Roman"/>
          <w:iCs w:val="0"/>
          <w:szCs w:val="24"/>
          <w:lang w:eastAsia="ru-RU" w:bidi="en-US"/>
        </w:rPr>
        <w:t xml:space="preserve">Первичная диагностика и анализ информации</w:t>
      </w:r>
      <w:bookmarkEnd w:id="51"/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Этапу первичной диагностики и анализу информации предшествует этап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_Ref85532881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rPr>
          <w:rFonts w:ascii="Calibri" w:hAnsi="Calibri"/>
        </w:rPr>
        <w:t xml:space="preserve"> </w:t>
      </w:r>
      <w:r>
        <w:t xml:space="preserve">Маршрутизация обращения и инцидента (Заявок)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», а следующими этапами могут быть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_Ref85532955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Создание связей между идентичными инцидентами и обращениями (Заявок)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 или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_Ref86224425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Проверка и подтверждение решения обращения и инцидента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». Этап является итеративным, т.к. в результате обработки Заявки от Инициатора анализ полученной информации может проводиться несколько раз перед переходом к следующему этапу.</w:t>
      </w:r>
    </w:p>
    <w:p>
      <w:pPr>
        <w:pStyle w:val="20"/>
      </w:pPr>
      <w:bookmarkStart w:id="52" w:name="_Ref85532955"/>
      <w:bookmarkStart w:id="53" w:name="_Toc130200518"/>
      <w:bookmarkStart w:id="54" w:name="_Toc237433491"/>
      <w:r>
        <w:t xml:space="preserve">Создание связей между идентичными инцидентами и обращениями (Заявок)</w:t>
      </w:r>
      <w:bookmarkEnd w:id="52"/>
      <w:bookmarkEnd w:id="53"/>
      <w:bookmarkEnd w:id="54"/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Основным результатом данного этапа является создание связей с другими идентичными Заявками для утилизации затрат на решение аналогичных или дублирующих случаев.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Действия по осуществлению работ на данном этапе производятся Исполнителем этапа.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Исполнителем этапа может являться: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сотрудник ДС (решение типовых Заявок по инструкции);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сотрудник 2ЛП (решение Заявок, требующих расширенного анализа и поиска решения).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В случае, если на этапе обнаруживается, что аналогичных Заявок нет, то Исполнитель этапа переходит к этапу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_Ref85532789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Решение обращений и инцидентов (Заявок)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Если имеются аналогичные или полностью дублирующие Заявки, то создаются соответствующие типы связей и происходит переход к этапу «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_Ref86224583 </w:instrText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Проверка и подтверждение решения обращения и инцидента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».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Порядок выполнения этапа приведен на рисунке ниже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_Ref172639314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Рисунок 4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):</w:t>
      </w:r>
    </w:p>
    <w:p>
      <w:pPr>
        <w:keepNext/>
      </w:pPr>
      <w:r>
        <w:rPr>
          <w:rFonts w:cs="Times New Roman"/>
          <w:lang w:eastAsia="ru-RU"/>
        </w:rPr>
      </w:r>
      <w:r>
        <w:rPr>
          <w:rFonts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89320" cy="3413760"/>
                <wp:effectExtent l="0" t="0" r="0" b="0"/>
                <wp:docPr id="8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989320" cy="341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71.60pt;height:268.8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</w:p>
    <w:p>
      <w:pPr>
        <w:pStyle w:val="ae"/>
        <w:keepNext/>
        <w:jc w:val="center"/>
      </w:pPr>
      <w:bookmarkStart w:id="55" w:name="_Ref172639314"/>
      <w:bookmarkStart w:id="56" w:name="_Ref85468239"/>
      <w:bookmarkStart w:id="57" w:name="_Ref85448581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4</w:t>
      </w:r>
      <w:r>
        <w:fldChar w:fldCharType="end"/>
      </w:r>
      <w:bookmarkEnd w:id="55"/>
      <w:r>
        <w:rPr>
          <w:rFonts w:eastAsia="Times New Roman" w:cs="Times New Roman"/>
          <w:iCs w:val="0"/>
          <w:szCs w:val="24"/>
          <w:lang w:eastAsia="ru-RU" w:bidi="en-US"/>
        </w:rPr>
        <w:t xml:space="preserve"> </w:t>
      </w:r>
      <w:r>
        <w:rPr>
          <w:rFonts w:eastAsia="Times New Roman" w:cs="Times New Roman"/>
          <w:szCs w:val="24"/>
          <w:lang w:eastAsia="ru-RU" w:bidi="en-US"/>
        </w:rPr>
        <w:t xml:space="preserve">– </w:t>
      </w:r>
      <w:bookmarkEnd w:id="56"/>
      <w:r>
        <w:rPr>
          <w:rFonts w:eastAsia="Times New Roman" w:cs="Times New Roman"/>
          <w:iCs w:val="0"/>
          <w:szCs w:val="24"/>
          <w:lang w:eastAsia="ru-RU" w:bidi="en-US"/>
        </w:rPr>
        <w:t xml:space="preserve">Создание связей</w:t>
      </w:r>
      <w:bookmarkEnd w:id="57"/>
    </w:p>
    <w:p>
      <w:pPr>
        <w:pStyle w:val="20"/>
      </w:pPr>
      <w:bookmarkStart w:id="58" w:name="_Ref85532789"/>
      <w:bookmarkStart w:id="59" w:name="_Toc130200519"/>
      <w:bookmarkStart w:id="60" w:name="_Toc237433492"/>
      <w:r>
        <w:t xml:space="preserve">Решение обращений и инцидентов (Заявок)</w:t>
      </w:r>
      <w:bookmarkEnd w:id="58"/>
      <w:bookmarkEnd w:id="59"/>
      <w:bookmarkEnd w:id="60"/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Основным результатом данного этапа является проведение действий или предоставление Инициатору рекомендаций для самостоятельного проведения действий, которые приведут к решению Заявки, в том числе устранению причин и восстановлению штатной работоспособности.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Данный этап находится в зоне ответственности Исполнителя, который: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контролирует выполнение этапа;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выполняет взаимодействия с ведомствами, 3ЛП; 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систематизирует получаемую информацию и организует действия по принятию решений в тех случаях, когда результат работ отличается от ожидаемого;</w:t>
      </w:r>
    </w:p>
    <w:p>
      <w:pPr>
        <w:pStyle w:val="ScrollListBullet1"/>
        <w:numPr>
          <w:numId w:val="27"/>
          <w:ilvl w:val="0"/>
        </w:numPr>
        <w:tabs>
          <w:tab w:val="left" w:pos="1315"/>
        </w:tabs>
        <w:ind w:left="1315" w:hanging="464"/>
      </w:pPr>
      <w:r>
        <w:t xml:space="preserve">информирует ДС о необходимости изменения статуса Заявки по результатам взаимодействия с 3ЛП. Предоставляет факты для перевода Заявки в другой статус.</w:t>
      </w:r>
    </w:p>
    <w:p>
      <w:pPr>
        <w:spacing w:after="0" w:line="360" w:lineRule="auto"/>
        <w:ind w:firstLine="851"/>
        <w:jc w:val="both"/>
        <w:rPr>
          <w:rFonts w:eastAsia="Times New Roman" w:cs="Times New Roman"/>
          <w:szCs w:val="24"/>
          <w:lang w:eastAsia="ru-RU" w:bidi="en-US"/>
        </w:rPr>
      </w:pPr>
      <w:r>
        <w:rPr>
          <w:rFonts w:eastAsia="Times New Roman" w:cs="Times New Roman"/>
          <w:szCs w:val="24"/>
          <w:lang w:eastAsia="ru-RU" w:bidi="en-US"/>
        </w:rPr>
        <w:t xml:space="preserve">Этап является итеративным, т.к. в результате запроса информации от Инициатора Заявки анализ информации будет производиться несколько раз перед переходом к следующему этапу.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Порядок выполнения этапа приведен на рисунке ниже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_Ref172639554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Рисунок 5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):</w:t>
      </w:r>
    </w:p>
    <w:p>
      <w:pPr>
        <w:keepNext/>
      </w:pPr>
      <w:r>
        <w:rPr>
          <w:rFonts w:cs="Times New Roman"/>
          <w:lang w:eastAsia="ru-RU"/>
        </w:rPr>
      </w:r>
      <w:r>
        <w:rPr>
          <w:rFonts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6460" cy="2926080"/>
                <wp:effectExtent l="0" t="0" r="0" b="0"/>
                <wp:docPr id="10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966460" cy="292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9.80pt;height:230.4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</w:p>
    <w:p>
      <w:pPr>
        <w:pStyle w:val="ae"/>
        <w:jc w:val="center"/>
        <w:rPr>
          <w:rFonts w:eastAsia="Times New Roman" w:cs="Times New Roman"/>
          <w:i/>
          <w:iCs w:val="0"/>
          <w:szCs w:val="24"/>
          <w:lang w:eastAsia="ru-RU" w:bidi="en-US"/>
        </w:rPr>
      </w:pPr>
      <w:bookmarkStart w:id="61" w:name="_Ref172639554"/>
      <w:bookmarkStart w:id="62" w:name="_Ref85529316"/>
      <w:bookmarkStart w:id="63" w:name="_Ref85449650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5</w:t>
      </w:r>
      <w:r>
        <w:fldChar w:fldCharType="end"/>
      </w:r>
      <w:bookmarkEnd w:id="61"/>
      <w:r>
        <w:rPr>
          <w:rFonts w:eastAsia="Times New Roman" w:cs="Times New Roman"/>
          <w:iCs w:val="0"/>
          <w:szCs w:val="24"/>
          <w:lang w:eastAsia="ru-RU" w:bidi="en-US"/>
        </w:rPr>
        <w:t xml:space="preserve"> </w:t>
      </w:r>
      <w:r>
        <w:rPr>
          <w:rFonts w:eastAsia="Times New Roman" w:cs="Times New Roman"/>
          <w:szCs w:val="24"/>
          <w:lang w:eastAsia="ru-RU" w:bidi="en-US"/>
        </w:rPr>
        <w:t xml:space="preserve">– </w:t>
      </w:r>
      <w:bookmarkEnd w:id="62"/>
      <w:r>
        <w:rPr>
          <w:rFonts w:eastAsia="Times New Roman" w:cs="Times New Roman"/>
          <w:iCs w:val="0"/>
          <w:szCs w:val="24"/>
          <w:lang w:eastAsia="ru-RU" w:bidi="en-US"/>
        </w:rPr>
        <w:t xml:space="preserve">Решение </w:t>
      </w:r>
      <w:bookmarkEnd w:id="63"/>
      <w:r>
        <w:rPr>
          <w:rFonts w:eastAsia="Times New Roman" w:cs="Times New Roman"/>
          <w:iCs w:val="0"/>
          <w:szCs w:val="24"/>
          <w:lang w:eastAsia="ru-RU" w:bidi="en-US"/>
        </w:rPr>
        <w:t xml:space="preserve">Заявки</w:t>
      </w:r>
    </w:p>
    <w:p>
      <w:pPr>
        <w:pStyle w:val="-0"/>
      </w:pPr>
      <w:r>
        <w:t xml:space="preserve">Восстановительные работы при решении инцидентов являются исключением и могут проводится оперативно без предварительного оповещения пользователей о времени подготовки и проведения работ. В период проведения восстановительных работ Исполнитель должен предусмотреть размещение информационной страницы об информировании пользователей о недоступности Системы. Заказчику незамедлительно должна быть представлена информация о ходе выполнения восстановительных работ и сроках их проведения.</w:t>
      </w:r>
    </w:p>
    <w:p>
      <w:pPr>
        <w:pStyle w:val="-0"/>
      </w:pPr>
      <w:r>
        <w:t xml:space="preserve">В случае наличия претензий по решению поступившего от пользователя инцидента со стороны пользователя, Заказчика или Функционального заказчика данный инцидент должен быть возвращен на доработку, о чем Контакт-центр информирует пользователя.</w:t>
      </w:r>
    </w:p>
    <w:p>
      <w:pPr>
        <w:pStyle w:val="20"/>
      </w:pPr>
      <w:bookmarkStart w:id="64" w:name="_Ref85446080"/>
      <w:bookmarkStart w:id="65" w:name="_Ref86224227"/>
      <w:bookmarkStart w:id="66" w:name="_Ref86224268"/>
      <w:bookmarkStart w:id="67" w:name="_Ref86224425"/>
      <w:bookmarkStart w:id="68" w:name="_Ref86224583"/>
      <w:bookmarkStart w:id="69" w:name="_Toc130200520"/>
      <w:bookmarkStart w:id="70" w:name="_Toc237433493"/>
      <w:r>
        <w:t xml:space="preserve">Проверка и подтверждение решения обращения и инцидента</w:t>
      </w:r>
      <w:bookmarkEnd w:id="64"/>
      <w:bookmarkEnd w:id="65"/>
      <w:bookmarkEnd w:id="66"/>
      <w:bookmarkEnd w:id="67"/>
      <w:bookmarkEnd w:id="68"/>
      <w:bookmarkEnd w:id="69"/>
      <w:bookmarkEnd w:id="70"/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Основным результатом данного этапа является подтверждение решения инцидента (ответ на обращение, устранения причин возникновения инцидента) и оповещение Инициатора, а также дальнейшее закрытие соответствующей Заявки.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Порядок выполнения этапа приведен на рисунке ниже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_Ref172639576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Рисунок 6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):</w:t>
      </w:r>
    </w:p>
    <w:p>
      <w:pPr>
        <w:keepNext/>
      </w:pPr>
      <w:r>
        <w:rPr>
          <w:rFonts w:cs="Times New Roman"/>
          <w:lang w:eastAsia="ru-RU"/>
        </w:rPr>
      </w:r>
      <w:r>
        <w:rPr>
          <w:rFonts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49340" cy="3215640"/>
                <wp:effectExtent l="0" t="0" r="0" b="0"/>
                <wp:docPr id="12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6149340" cy="321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84.20pt;height:253.2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</w:p>
    <w:p>
      <w:pPr>
        <w:pStyle w:val="ae"/>
        <w:keepNext/>
        <w:jc w:val="center"/>
      </w:pPr>
      <w:bookmarkStart w:id="71" w:name="_Ref172639576"/>
      <w:bookmarkStart w:id="72" w:name="_Ref85533250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6</w:t>
      </w:r>
      <w:r>
        <w:fldChar w:fldCharType="end"/>
      </w:r>
      <w:bookmarkEnd w:id="71"/>
      <w:r>
        <w:rPr>
          <w:rFonts w:eastAsia="Times New Roman" w:cs="Times New Roman"/>
          <w:iCs w:val="0"/>
          <w:szCs w:val="24"/>
          <w:lang w:eastAsia="ru-RU" w:bidi="en-US"/>
        </w:rPr>
        <w:t xml:space="preserve"> </w:t>
      </w:r>
      <w:r>
        <w:rPr>
          <w:rFonts w:eastAsia="Times New Roman" w:cs="Times New Roman"/>
          <w:szCs w:val="24"/>
          <w:lang w:eastAsia="ru-RU" w:bidi="en-US"/>
        </w:rPr>
        <w:t xml:space="preserve">– </w:t>
      </w:r>
      <w:bookmarkEnd w:id="72"/>
      <w:r>
        <w:rPr>
          <w:rFonts w:eastAsia="Times New Roman" w:cs="Times New Roman"/>
          <w:iCs w:val="0"/>
          <w:szCs w:val="24"/>
          <w:lang w:eastAsia="ru-RU" w:bidi="en-US"/>
        </w:rPr>
        <w:t xml:space="preserve">Проверка и подтверждение решения</w:t>
      </w:r>
    </w:p>
    <w:p>
      <w:pPr>
        <w:pStyle w:val="20"/>
        <w:rPr>
          <w:rFonts w:ascii="Times New Roman" w:hAnsi="Times New Roman"/>
        </w:rPr>
      </w:pPr>
      <w:bookmarkStart w:id="73" w:name="_Toc237433496"/>
      <w:bookmarkStart w:id="74" w:name="_Toc237433497"/>
      <w:r>
        <w:rPr>
          <w:rFonts w:ascii="Times New Roman" w:hAnsi="Times New Roman"/>
        </w:rPr>
        <w:t xml:space="preserve">Услуга по предоставлению информации о действиях в системе</w:t>
      </w:r>
      <w:bookmarkEnd w:id="73"/>
      <w:r>
        <w:rPr>
          <w:rFonts w:ascii="Times New Roman" w:hAnsi="Times New Roman"/>
        </w:rPr>
        <w:t xml:space="preserve"> </w:t>
      </w:r>
    </w:p>
    <w:p>
      <w:pPr>
        <w:pStyle w:val="3"/>
      </w:pPr>
      <w:bookmarkStart w:id="75" w:name="_Toc237433498"/>
      <w:r>
        <w:t xml:space="preserve">Расширенный аудит</w:t>
      </w:r>
      <w:bookmarkEnd w:id="74"/>
      <w:r>
        <w:t xml:space="preserve"> 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системе реализована возможность хранения истории изменения данных строк полей в таблицах основной базы данных. Используется в целях расследования на тему кто, когда, с чего и на что изменил ту или иную запись, в т.ч. по конкретному пациенту.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Аудит включает в себя хранение: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Уникальный идентификатор записи;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Дата и время операции, время сервера без учёта часового пояса, UTC;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Учетная запись пользователя, подключённого к БД;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действия, которое привело к изменению данных;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Тип операции, которая привела и изменению данных; 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Наименование схемы и таблицы БД, в которой проводилась операции по изменению данных;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Идентификатор таблицы БД, в которой проводилась операции по изменению данных;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Состояние данных на момент внесения изменений (сохранение данных по изменению полей)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Срок хранения логов расширенного аудита – 3 календарных года.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Выгрузка данных по расширенному аудиту доступна только техническому специалисту </w:t>
      </w:r>
      <w:r>
        <w:rPr>
          <w:lang w:eastAsia="ru-RU"/>
        </w:rPr>
        <w:t xml:space="preserve">Исполнителя, по обращению уполномоченного лица, если информация не содержит персональные данные. При наличии персональных данных в аудите, выгрузка предоставляется только по официальному запросу Функционального заказчика</w:t>
      </w:r>
      <w:r>
        <w:rPr>
          <w:lang w:eastAsia="ru-RU"/>
        </w:rPr>
        <w:t xml:space="preserve">. Обращения, связанные c анализом логов расширенного аудита, без наличия персональных данных, обрабатываются типом заявки «запрос на изменение» в рамках SLA, согласно таблице А.5, п. А.2 настоящего регламента.</w:t>
      </w:r>
    </w:p>
    <w:p>
      <w:pPr>
        <w:pStyle w:val="3"/>
      </w:pPr>
      <w:bookmarkStart w:id="76" w:name="_Toc237433499"/>
      <w:r>
        <w:t xml:space="preserve">Данные о действиях пользователей в системе</w:t>
      </w:r>
      <w:bookmarkEnd w:id="75"/>
      <w:r>
        <w:t xml:space="preserve"> 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Осуществляется хранение логов действий пользователей ЕИСЗ ПК, данные о сохранении, запуске и просмотре той или иной информации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Реализовано через хранение текстовых логов на веб-серверах с последующей записью этих данных в таблицу отдельной базы данных для php_log.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Данные о действиях пользователей содержат: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Уникальный идентификатор записи;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Вызываемый метод;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Запрос, вызываемый при действии пользователя;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Продолжительность выполнения запроса (предположительно);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Дата и время запроса;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 Идентификатор пользователя, учетная запись;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 - IP сервера, на котором выполнялся запрос;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 Идентификатор АРМ пользователя.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Имеет визуализацию в приложении «Журнал событий системы» под АРМ ЦОД.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Срок хранения оперативных логов на основной базе данных – 3 месяца. 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Срок хранения действий пользователя в системе (PHP_log) – 365 дней. 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Выгрузка данных PHP_log доступна техническому специалисту исполнителя.</w:t>
      </w:r>
    </w:p>
    <w:p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Данные по действиям пользователя могут быть предоставлены функциональному заказчику только по официальному запросу исполнителю в соответствии с с ч. 3 ст.6 Федерального закона от 27.07.2006 N 152-ФЗ (ред. от 24.06.2025) «О персональных данных».</w:t>
      </w:r>
    </w:p>
    <w:p>
      <w:pPr>
        <w:pStyle w:val="10"/>
        <w:jc w:val="center"/>
      </w:pPr>
      <w:bookmarkStart w:id="77" w:name="_Toc86156751"/>
      <w:bookmarkStart w:id="78" w:name="_Toc86243715"/>
      <w:bookmarkStart w:id="79" w:name="_Toc86156752"/>
      <w:bookmarkStart w:id="80" w:name="_Toc86243716"/>
      <w:bookmarkStart w:id="81" w:name="_Toc85540825"/>
      <w:bookmarkStart w:id="82" w:name="_Toc85540973"/>
      <w:bookmarkStart w:id="83" w:name="_Toc85542972"/>
      <w:bookmarkStart w:id="84" w:name="_Toc85540826"/>
      <w:bookmarkStart w:id="85" w:name="_Toc85540974"/>
      <w:bookmarkStart w:id="86" w:name="_Toc85542973"/>
      <w:bookmarkStart w:id="87" w:name="_Toc85540827"/>
      <w:bookmarkStart w:id="88" w:name="_Toc85540975"/>
      <w:bookmarkStart w:id="89" w:name="_Toc85542974"/>
      <w:bookmarkStart w:id="90" w:name="_Toc85540828"/>
      <w:bookmarkStart w:id="91" w:name="_Toc85540976"/>
      <w:bookmarkStart w:id="92" w:name="_Toc85542975"/>
      <w:bookmarkStart w:id="93" w:name="_Toc85540829"/>
      <w:bookmarkStart w:id="94" w:name="_Toc85540977"/>
      <w:bookmarkStart w:id="95" w:name="_Toc85542976"/>
      <w:bookmarkStart w:id="96" w:name="_Toc85540830"/>
      <w:bookmarkStart w:id="97" w:name="_Toc85540978"/>
      <w:bookmarkStart w:id="98" w:name="_Toc85542977"/>
      <w:bookmarkStart w:id="99" w:name="_Toc85540831"/>
      <w:bookmarkStart w:id="100" w:name="_Toc85540979"/>
      <w:bookmarkStart w:id="101" w:name="_Toc85542978"/>
      <w:bookmarkStart w:id="102" w:name="_Toc85540832"/>
      <w:bookmarkStart w:id="103" w:name="_Toc85540980"/>
      <w:bookmarkStart w:id="104" w:name="_Toc85542979"/>
      <w:bookmarkStart w:id="105" w:name="_Toc85540833"/>
      <w:bookmarkStart w:id="106" w:name="_Toc85540981"/>
      <w:bookmarkStart w:id="107" w:name="_Toc85542980"/>
      <w:bookmarkStart w:id="108" w:name="_Toc85540834"/>
      <w:bookmarkStart w:id="109" w:name="_Toc85540982"/>
      <w:bookmarkStart w:id="110" w:name="_Toc85542981"/>
      <w:bookmarkStart w:id="111" w:name="_Toc85540835"/>
      <w:bookmarkStart w:id="112" w:name="_Toc85540983"/>
      <w:bookmarkStart w:id="113" w:name="_Toc85542982"/>
      <w:bookmarkStart w:id="114" w:name="_Toc85540836"/>
      <w:bookmarkStart w:id="115" w:name="_Toc85540984"/>
      <w:bookmarkStart w:id="116" w:name="_Toc85542983"/>
      <w:bookmarkStart w:id="117" w:name="_Toc85540837"/>
      <w:bookmarkStart w:id="118" w:name="_Toc85540985"/>
      <w:bookmarkStart w:id="119" w:name="_Toc85542984"/>
      <w:bookmarkStart w:id="120" w:name="_Toc85540838"/>
      <w:bookmarkStart w:id="121" w:name="_Toc85540986"/>
      <w:bookmarkStart w:id="122" w:name="_Toc85542985"/>
      <w:bookmarkStart w:id="123" w:name="_Toc85540839"/>
      <w:bookmarkStart w:id="124" w:name="_Toc85540987"/>
      <w:bookmarkStart w:id="125" w:name="_Toc85542986"/>
      <w:bookmarkStart w:id="126" w:name="_Toc85540841"/>
      <w:bookmarkStart w:id="127" w:name="_Toc85540989"/>
      <w:bookmarkStart w:id="128" w:name="_Toc85542988"/>
      <w:bookmarkStart w:id="129" w:name="_Toc85540842"/>
      <w:bookmarkStart w:id="130" w:name="_Toc85540990"/>
      <w:bookmarkStart w:id="131" w:name="_Toc85542989"/>
      <w:bookmarkStart w:id="132" w:name="_Toc85540843"/>
      <w:bookmarkStart w:id="133" w:name="_Toc85540991"/>
      <w:bookmarkStart w:id="134" w:name="_Toc85542990"/>
      <w:bookmarkStart w:id="135" w:name="_Toc85540845"/>
      <w:bookmarkStart w:id="136" w:name="_Toc85540993"/>
      <w:bookmarkStart w:id="137" w:name="_Toc85542992"/>
      <w:bookmarkStart w:id="138" w:name="_Toc85540846"/>
      <w:bookmarkStart w:id="139" w:name="_Toc85540994"/>
      <w:bookmarkStart w:id="140" w:name="_Toc85542993"/>
      <w:bookmarkStart w:id="141" w:name="_Toc85540847"/>
      <w:bookmarkStart w:id="142" w:name="_Toc85540995"/>
      <w:bookmarkStart w:id="143" w:name="_Toc85542994"/>
      <w:bookmarkStart w:id="144" w:name="_Toc85540848"/>
      <w:bookmarkStart w:id="145" w:name="_Toc85540996"/>
      <w:bookmarkStart w:id="146" w:name="_Toc85542995"/>
      <w:bookmarkStart w:id="147" w:name="_Toc85540850"/>
      <w:bookmarkStart w:id="148" w:name="_Toc85540998"/>
      <w:bookmarkStart w:id="149" w:name="_Toc85542997"/>
      <w:bookmarkStart w:id="150" w:name="_Toc85540851"/>
      <w:bookmarkStart w:id="151" w:name="_Toc85540999"/>
      <w:bookmarkStart w:id="152" w:name="_Toc85542998"/>
      <w:bookmarkStart w:id="153" w:name="_Toc85540852"/>
      <w:bookmarkStart w:id="154" w:name="_Toc85541000"/>
      <w:bookmarkStart w:id="155" w:name="_Toc85542999"/>
      <w:bookmarkStart w:id="156" w:name="_Toc85540853"/>
      <w:bookmarkStart w:id="157" w:name="_Toc85541001"/>
      <w:bookmarkStart w:id="158" w:name="_Toc85543000"/>
      <w:bookmarkStart w:id="159" w:name="_Toc85540855"/>
      <w:bookmarkStart w:id="160" w:name="_Toc85541003"/>
      <w:bookmarkStart w:id="161" w:name="_Toc85543002"/>
      <w:bookmarkStart w:id="162" w:name="_Toc85540856"/>
      <w:bookmarkStart w:id="163" w:name="_Toc85541004"/>
      <w:bookmarkStart w:id="164" w:name="_Toc85543003"/>
      <w:bookmarkStart w:id="165" w:name="_Toc85540857"/>
      <w:bookmarkStart w:id="166" w:name="_Toc85541005"/>
      <w:bookmarkStart w:id="167" w:name="_Toc85543004"/>
      <w:bookmarkStart w:id="168" w:name="_Toc85540858"/>
      <w:bookmarkStart w:id="169" w:name="_Toc85541006"/>
      <w:bookmarkStart w:id="170" w:name="_Toc85543005"/>
      <w:bookmarkStart w:id="171" w:name="_Toc85540860"/>
      <w:bookmarkStart w:id="172" w:name="_Toc85541008"/>
      <w:bookmarkStart w:id="173" w:name="_Toc85543007"/>
      <w:bookmarkStart w:id="174" w:name="_Toc85540861"/>
      <w:bookmarkStart w:id="175" w:name="_Toc85541009"/>
      <w:bookmarkStart w:id="176" w:name="_Toc85543008"/>
      <w:bookmarkStart w:id="177" w:name="_Toc85540862"/>
      <w:bookmarkStart w:id="178" w:name="_Toc85541010"/>
      <w:bookmarkStart w:id="179" w:name="_Toc85543009"/>
      <w:bookmarkStart w:id="180" w:name="_Toc85540863"/>
      <w:bookmarkStart w:id="181" w:name="_Toc85541011"/>
      <w:bookmarkStart w:id="182" w:name="_Toc85543010"/>
      <w:bookmarkStart w:id="183" w:name="_Toc85540864"/>
      <w:bookmarkStart w:id="184" w:name="_Toc85541012"/>
      <w:bookmarkStart w:id="185" w:name="_Toc85543011"/>
      <w:bookmarkStart w:id="186" w:name="_Toc85540865"/>
      <w:bookmarkStart w:id="187" w:name="_Toc85541013"/>
      <w:bookmarkStart w:id="188" w:name="_Toc85543012"/>
      <w:bookmarkStart w:id="189" w:name="_Toc85540866"/>
      <w:bookmarkStart w:id="190" w:name="_Toc85541014"/>
      <w:bookmarkStart w:id="191" w:name="_Toc85543013"/>
      <w:bookmarkStart w:id="192" w:name="_Toc85540867"/>
      <w:bookmarkStart w:id="193" w:name="_Toc85541015"/>
      <w:bookmarkStart w:id="194" w:name="_Toc85543014"/>
      <w:bookmarkStart w:id="195" w:name="_Toc85540868"/>
      <w:bookmarkStart w:id="196" w:name="_Toc85541016"/>
      <w:bookmarkStart w:id="197" w:name="_Toc85543015"/>
      <w:bookmarkStart w:id="198" w:name="_Toc85540869"/>
      <w:bookmarkStart w:id="199" w:name="_Toc85541017"/>
      <w:bookmarkStart w:id="200" w:name="_Toc85543016"/>
      <w:bookmarkStart w:id="201" w:name="_Toc85540870"/>
      <w:bookmarkStart w:id="202" w:name="_Toc85541018"/>
      <w:bookmarkStart w:id="203" w:name="_Toc85543017"/>
      <w:bookmarkStart w:id="204" w:name="_Toc85540872"/>
      <w:bookmarkStart w:id="205" w:name="_Toc85541020"/>
      <w:bookmarkStart w:id="206" w:name="_Toc85543019"/>
      <w:bookmarkStart w:id="207" w:name="_Toc85540873"/>
      <w:bookmarkStart w:id="208" w:name="_Toc85541021"/>
      <w:bookmarkStart w:id="209" w:name="_Toc85543020"/>
      <w:bookmarkStart w:id="210" w:name="_Toc85540875"/>
      <w:bookmarkStart w:id="211" w:name="_Toc85541023"/>
      <w:bookmarkStart w:id="212" w:name="_Toc85543022"/>
      <w:bookmarkStart w:id="213" w:name="_Toc85540876"/>
      <w:bookmarkStart w:id="214" w:name="_Toc85541024"/>
      <w:bookmarkStart w:id="215" w:name="_Toc85543023"/>
      <w:bookmarkStart w:id="216" w:name="_Toc85540877"/>
      <w:bookmarkStart w:id="217" w:name="_Toc85541025"/>
      <w:bookmarkStart w:id="218" w:name="_Toc85543024"/>
      <w:bookmarkStart w:id="219" w:name="_Toc85540878"/>
      <w:bookmarkStart w:id="220" w:name="_Toc85541026"/>
      <w:bookmarkStart w:id="221" w:name="_Toc85543025"/>
      <w:bookmarkStart w:id="222" w:name="_Toc85540879"/>
      <w:bookmarkStart w:id="223" w:name="_Toc85541027"/>
      <w:bookmarkStart w:id="224" w:name="_Toc85543026"/>
      <w:bookmarkStart w:id="225" w:name="_Toc85540880"/>
      <w:bookmarkStart w:id="226" w:name="_Toc85541028"/>
      <w:bookmarkStart w:id="227" w:name="_Toc85543027"/>
      <w:bookmarkStart w:id="228" w:name="_Toc85540881"/>
      <w:bookmarkStart w:id="229" w:name="_Toc85541029"/>
      <w:bookmarkStart w:id="230" w:name="_Toc85543028"/>
      <w:bookmarkStart w:id="231" w:name="_Toc85540883"/>
      <w:bookmarkStart w:id="232" w:name="_Toc85541031"/>
      <w:bookmarkStart w:id="233" w:name="_Toc85543030"/>
      <w:bookmarkStart w:id="234" w:name="_Toc85540884"/>
      <w:bookmarkStart w:id="235" w:name="_Toc85541032"/>
      <w:bookmarkStart w:id="236" w:name="_Toc85543031"/>
      <w:bookmarkStart w:id="237" w:name="_Toc85540885"/>
      <w:bookmarkStart w:id="238" w:name="_Toc85541033"/>
      <w:bookmarkStart w:id="239" w:name="_Toc85543032"/>
      <w:bookmarkStart w:id="240" w:name="_Toc85540886"/>
      <w:bookmarkStart w:id="241" w:name="_Toc85541034"/>
      <w:bookmarkStart w:id="242" w:name="_Toc85543033"/>
      <w:bookmarkStart w:id="243" w:name="_Toc85540887"/>
      <w:bookmarkStart w:id="244" w:name="_Toc85541035"/>
      <w:bookmarkStart w:id="245" w:name="_Toc85543034"/>
      <w:bookmarkStart w:id="246" w:name="_Toc85540888"/>
      <w:bookmarkStart w:id="247" w:name="_Toc85541036"/>
      <w:bookmarkStart w:id="248" w:name="_Toc85543035"/>
      <w:bookmarkStart w:id="249" w:name="_Toc85540890"/>
      <w:bookmarkStart w:id="250" w:name="_Toc85541038"/>
      <w:bookmarkStart w:id="251" w:name="_Toc85543037"/>
      <w:bookmarkStart w:id="252" w:name="_Toc85540891"/>
      <w:bookmarkStart w:id="253" w:name="_Toc85541039"/>
      <w:bookmarkStart w:id="254" w:name="_Toc85543038"/>
      <w:bookmarkStart w:id="255" w:name="_Toc85540892"/>
      <w:bookmarkStart w:id="256" w:name="_Toc85541040"/>
      <w:bookmarkStart w:id="257" w:name="_Toc85543039"/>
      <w:bookmarkStart w:id="258" w:name="_Toc85540894"/>
      <w:bookmarkStart w:id="259" w:name="_Toc85541042"/>
      <w:bookmarkStart w:id="260" w:name="_Toc85543041"/>
      <w:bookmarkStart w:id="261" w:name="_Toc85540895"/>
      <w:bookmarkStart w:id="262" w:name="_Toc85541043"/>
      <w:bookmarkStart w:id="263" w:name="_Toc85543042"/>
      <w:bookmarkStart w:id="264" w:name="_Toc85540896"/>
      <w:bookmarkStart w:id="265" w:name="_Toc85541044"/>
      <w:bookmarkStart w:id="266" w:name="_Toc85543043"/>
      <w:bookmarkStart w:id="267" w:name="_Toc85540897"/>
      <w:bookmarkStart w:id="268" w:name="_Toc85541045"/>
      <w:bookmarkStart w:id="269" w:name="_Toc85543044"/>
      <w:bookmarkStart w:id="270" w:name="_Toc85540898"/>
      <w:bookmarkStart w:id="271" w:name="_Toc85541046"/>
      <w:bookmarkStart w:id="272" w:name="_Toc85543045"/>
      <w:bookmarkStart w:id="273" w:name="_Toc85540899"/>
      <w:bookmarkStart w:id="274" w:name="_Toc85541047"/>
      <w:bookmarkStart w:id="275" w:name="_Toc85543046"/>
      <w:bookmarkStart w:id="276" w:name="_Toc85540900"/>
      <w:bookmarkStart w:id="277" w:name="_Toc85541048"/>
      <w:bookmarkStart w:id="278" w:name="_Toc85543047"/>
      <w:bookmarkStart w:id="279" w:name="_Toc85540901"/>
      <w:bookmarkStart w:id="280" w:name="_Toc85541049"/>
      <w:bookmarkStart w:id="281" w:name="_Toc85543048"/>
      <w:bookmarkStart w:id="282" w:name="_Toc85540902"/>
      <w:bookmarkStart w:id="283" w:name="_Toc85541050"/>
      <w:bookmarkStart w:id="284" w:name="_Toc85543049"/>
      <w:bookmarkStart w:id="285" w:name="_Toc85540903"/>
      <w:bookmarkStart w:id="286" w:name="_Toc85541051"/>
      <w:bookmarkStart w:id="287" w:name="_Toc85543050"/>
      <w:bookmarkStart w:id="288" w:name="_Toc85540904"/>
      <w:bookmarkStart w:id="289" w:name="_Toc85541052"/>
      <w:bookmarkStart w:id="290" w:name="_Toc85543051"/>
      <w:bookmarkStart w:id="291" w:name="_Toc85540905"/>
      <w:bookmarkStart w:id="292" w:name="_Toc85541053"/>
      <w:bookmarkStart w:id="293" w:name="_Toc85543052"/>
      <w:bookmarkStart w:id="294" w:name="_Toc85540906"/>
      <w:bookmarkStart w:id="295" w:name="_Toc85541054"/>
      <w:bookmarkStart w:id="296" w:name="_Toc85543053"/>
      <w:bookmarkStart w:id="297" w:name="_Toc85540907"/>
      <w:bookmarkStart w:id="298" w:name="_Toc85541055"/>
      <w:bookmarkStart w:id="299" w:name="_Toc85543054"/>
      <w:bookmarkStart w:id="300" w:name="_Toc85540908"/>
      <w:bookmarkStart w:id="301" w:name="_Toc85541056"/>
      <w:bookmarkStart w:id="302" w:name="_Toc85543055"/>
      <w:bookmarkStart w:id="303" w:name="_Toc85540909"/>
      <w:bookmarkStart w:id="304" w:name="_Toc85541057"/>
      <w:bookmarkStart w:id="305" w:name="_Toc85543056"/>
      <w:bookmarkStart w:id="306" w:name="_Toc85540910"/>
      <w:bookmarkStart w:id="307" w:name="_Toc85541058"/>
      <w:bookmarkStart w:id="308" w:name="_Toc85543057"/>
      <w:bookmarkStart w:id="309" w:name="_Toc85540911"/>
      <w:bookmarkStart w:id="310" w:name="_Toc85541059"/>
      <w:bookmarkStart w:id="311" w:name="_Toc85543058"/>
      <w:bookmarkStart w:id="312" w:name="_Toc85540912"/>
      <w:bookmarkStart w:id="313" w:name="_Toc85541060"/>
      <w:bookmarkStart w:id="314" w:name="_Toc85543059"/>
      <w:bookmarkStart w:id="315" w:name="_Toc85540913"/>
      <w:bookmarkStart w:id="316" w:name="_Toc85541061"/>
      <w:bookmarkStart w:id="317" w:name="_Toc85543060"/>
      <w:bookmarkStart w:id="318" w:name="_Toc85540914"/>
      <w:bookmarkStart w:id="319" w:name="_Toc85541062"/>
      <w:bookmarkStart w:id="320" w:name="_Toc85543061"/>
      <w:bookmarkStart w:id="321" w:name="_Toc85540915"/>
      <w:bookmarkStart w:id="322" w:name="_Toc85541063"/>
      <w:bookmarkStart w:id="323" w:name="_Toc85543062"/>
      <w:bookmarkStart w:id="324" w:name="_Toc85540916"/>
      <w:bookmarkStart w:id="325" w:name="_Toc85541064"/>
      <w:bookmarkStart w:id="326" w:name="_Toc85543063"/>
      <w:bookmarkStart w:id="327" w:name="_Toc85540917"/>
      <w:bookmarkStart w:id="328" w:name="_Toc85541065"/>
      <w:bookmarkStart w:id="329" w:name="_Toc85543064"/>
      <w:bookmarkStart w:id="330" w:name="_Toc85540918"/>
      <w:bookmarkStart w:id="331" w:name="_Toc85541066"/>
      <w:bookmarkStart w:id="332" w:name="_Toc85543065"/>
      <w:bookmarkStart w:id="333" w:name="_Toc85540919"/>
      <w:bookmarkStart w:id="334" w:name="_Toc85541067"/>
      <w:bookmarkStart w:id="335" w:name="_Toc85543066"/>
      <w:bookmarkStart w:id="336" w:name="_Toc85540920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r>
        <w:t xml:space="preserve">Приложение А</w:t>
      </w:r>
    </w:p>
    <w:p>
      <w:pPr>
        <w:pStyle w:val="-0"/>
        <w:spacing w:before="240" w:after="120"/>
        <w:ind w:firstLine="0"/>
        <w:jc w:val="center"/>
        <w:rPr>
          <w:b/>
          <w:bCs/>
          <w:sz w:val="32"/>
          <w:szCs w:val="32"/>
          <w:lang w:bidi="en-US"/>
        </w:rPr>
      </w:pPr>
      <w:r>
        <w:rPr>
          <w:b/>
          <w:bCs/>
          <w:sz w:val="32"/>
          <w:szCs w:val="32"/>
          <w:lang w:bidi="en-US"/>
        </w:rPr>
        <w:t xml:space="preserve">Параметры оказания услуг</w:t>
      </w:r>
    </w:p>
    <w:p>
      <w:pPr>
        <w:numPr>
          <w:numId w:val="31"/>
          <w:ilvl w:val="0"/>
        </w:numPr>
        <w:spacing w:before="240" w:after="12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 Базовые параметры оказания услуг</w:t>
      </w:r>
    </w:p>
    <w:p>
      <w:pPr>
        <w:spacing w:after="0" w:line="360" w:lineRule="auto"/>
        <w:ind w:firstLine="851"/>
        <w:jc w:val="both"/>
        <w:rPr>
          <w:rFonts w:cs="Times New Roman"/>
          <w:szCs w:val="24"/>
          <w:lang w:eastAsia="ru-RU" w:bidi="en-US"/>
        </w:rPr>
      </w:pPr>
      <w:r>
        <w:rPr>
          <w:rFonts w:cs="Times New Roman"/>
          <w:szCs w:val="24"/>
          <w:lang w:eastAsia="ru-RU" w:bidi="en-US"/>
        </w:rPr>
        <w:t xml:space="preserve">Базовые параметры предоставления услуг приведены ниже: </w:t>
      </w:r>
    </w:p>
    <w:p>
      <w:pPr>
        <w:pStyle w:val="--2"/>
      </w:pPr>
      <w:r>
        <w:t xml:space="preserve">режимы оказания услуг (</w:t>
      </w:r>
      <w:r>
        <w:fldChar w:fldCharType="begin"/>
      </w:r>
      <w:r>
        <w:instrText xml:space="preserve"> REF _Ref172643263 \h </w:instrText>
      </w:r>
      <w:r>
        <w:fldChar w:fldCharType="separate"/>
      </w:r>
      <w:r>
        <w:t xml:space="preserve">Таблица А.1</w:t>
      </w:r>
      <w:r>
        <w:fldChar w:fldCharType="end"/>
      </w:r>
      <w:r>
        <w:t xml:space="preserve">):</w:t>
      </w:r>
    </w:p>
    <w:p>
      <w:pPr>
        <w:pStyle w:val="--2"/>
      </w:pPr>
      <w:r>
        <w:t xml:space="preserve">уровень доступности (</w:t>
      </w:r>
      <w:r>
        <w:fldChar w:fldCharType="begin"/>
      </w:r>
      <w:r>
        <w:instrText xml:space="preserve"> REF _Ref172643401 \h </w:instrText>
      </w:r>
      <w:r>
        <w:fldChar w:fldCharType="separate"/>
      </w:r>
      <w:r>
        <w:t xml:space="preserve">Таблица А.2</w:t>
      </w:r>
      <w:r>
        <w:fldChar w:fldCharType="end"/>
      </w:r>
      <w:r>
        <w:t xml:space="preserve">); </w:t>
      </w:r>
    </w:p>
    <w:p>
      <w:pPr>
        <w:pStyle w:val="--2"/>
      </w:pPr>
      <w:r>
        <w:t xml:space="preserve">сроки предоставления отчетности (</w:t>
      </w:r>
      <w:r>
        <w:fldChar w:fldCharType="begin"/>
      </w:r>
      <w:r>
        <w:instrText xml:space="preserve"> REF _Ref172643409 \h </w:instrText>
      </w:r>
      <w:r>
        <w:fldChar w:fldCharType="separate"/>
      </w:r>
      <w:r>
        <w:t xml:space="preserve">Таблица А.3</w:t>
      </w:r>
      <w:r>
        <w:fldChar w:fldCharType="end"/>
      </w:r>
      <w:r>
        <w:t xml:space="preserve">).</w:t>
      </w:r>
    </w:p>
    <w:p>
      <w:pPr>
        <w:pStyle w:val="ae"/>
        <w:keepNext/>
      </w:pPr>
      <w:r>
        <w:t xml:space="preserve">Таблица А.</w:t>
      </w:r>
      <w:r>
        <w:fldChar w:fldCharType="begin"/>
      </w:r>
      <w:r>
        <w:instrText xml:space="preserve">SEQ Таблица \* ARABIC \r 1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Режимы оказания услуг 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5"/>
        <w:gridCol w:w="5319"/>
        <w:gridCol w:w="3671"/>
      </w:tblGrid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9"/>
            </w:pPr>
            <w:r>
              <w:t xml:space="preserve">№ п/п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9"/>
            </w:pPr>
            <w:r>
              <w:t xml:space="preserve">Параметр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9"/>
            </w:pPr>
            <w:r>
              <w:t xml:space="preserve">Значение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1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Режим работы Системы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Круглосуточно (24х7)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2</w:t>
            </w:r>
          </w:p>
        </w:tc>
        <w:tc>
          <w:tcPr>
            <w:tcW w:w="8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Режим оказания услуги по поддержке пользователей Системы: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2.1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Регистрация заявок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Круглосуточно (24х7)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2.2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rPr>
                <w:rFonts w:eastAsia="Calibri"/>
              </w:rPr>
              <w:t xml:space="preserve">Решение обращений приоритета «Средний»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 9:00 до 18:00 часов в Рабочие дни (время пермское) (9х5)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2.3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Решение обращений приоритета «Низкий»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 9:00 до 18:00 часов в Рабочие дни (время пермское) (9х5)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3</w:t>
            </w:r>
          </w:p>
        </w:tc>
        <w:tc>
          <w:tcPr>
            <w:tcW w:w="8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Режим оказания услуги по решению инцидентов: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3.1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приоритет «Критический»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Круглосуточно (24х7)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3.2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приоритет «Высокий»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 9:00 до 18:00 часов в Рабочие дни (время пермское) (9х5)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3.3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приоритет «Средний»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 9:00 до 18:00 часов в Рабочие дни (время пермское) (9х5)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4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Режим оказания услуги по мониторингу и обеспечению доступности и работоспособности (производительности) Системы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Круглосуточно (24х7)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5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Режим оказания услуги по регламентному обслуживанию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Согласуется Исполнителем с Заказчиком при необходимости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6</w:t>
            </w:r>
          </w:p>
        </w:tc>
        <w:tc>
          <w:tcPr>
            <w:tcW w:w="8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Разрешенное время (окно) проведения планового регламентного обслуживания: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6.1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создания резервных копий баз данных Системы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Согласуется Исполнителем с Заказчиком при необходимости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6.2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контрольного восстановления Системы 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Согласуется Исполнителем с Заказчиком при необходимости</w:t>
            </w:r>
          </w:p>
        </w:tc>
      </w:tr>
      <w:tr>
        <w:trPr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6.3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  <w:rPr>
                <w:rFonts w:eastAsia="Calibri"/>
              </w:rPr>
            </w:pPr>
            <w:r>
              <w:rPr>
                <w:rFonts w:eastAsia="Calibri"/>
              </w:rPr>
              <w:t xml:space="preserve">обеспечение обновления Системы</w:t>
            </w:r>
          </w:p>
        </w:tc>
        <w:tc>
          <w:tcPr>
            <w:tcW w:w="3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t xml:space="preserve">Согласуется Исполнителем с Заказчиком при необходимости</w:t>
            </w:r>
          </w:p>
        </w:tc>
      </w:tr>
    </w:tbl>
    <w:p/>
    <w:p>
      <w:pPr>
        <w:keepNext/>
      </w:pPr>
      <w:r>
        <w:t xml:space="preserve">Таблица А.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Уровень доступности</w:t>
      </w:r>
    </w:p>
    <w:tbl>
      <w:tblPr>
        <w:tblW w:w="5000" w:type="pct"/>
        <w:tblLayout w:type="fixed"/>
        <w:tblCellMar>
          <w:left w:w="113" w:type="dxa"/>
          <w:top w:w="57" w:type="dxa"/>
          <w:right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803"/>
        <w:gridCol w:w="3772"/>
      </w:tblGrid>
      <w:tr>
        <w:trPr>
          <w:trHeight w:val="299"/>
          <w:tblHeader/>
        </w:trPr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--f0"/>
            </w:pPr>
            <w:r>
              <w:t xml:space="preserve">Параметр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--f0"/>
              <w:rPr>
                <w:rFonts w:eastAsia="Calibri"/>
              </w:rPr>
            </w:pPr>
            <w:r>
              <w:rPr>
                <w:rFonts w:eastAsia="Calibri"/>
              </w:rPr>
              <w:t xml:space="preserve">Значение</w:t>
            </w:r>
          </w:p>
        </w:tc>
      </w:tr>
      <w:tr>
        <w:trPr>
          <w:trHeight w:val="299"/>
        </w:trPr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--3"/>
            </w:pPr>
            <w:r>
              <w:t xml:space="preserve">Общее (суммарное) время внеплановой недоступности СПО Системы за этап без учета недоступности по вине третьих лиц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--3"/>
            </w:pPr>
            <w:r>
              <w:t xml:space="preserve">Не более 2% от общего нормативного времени работы Системы за этап</w:t>
            </w:r>
          </w:p>
        </w:tc>
      </w:tr>
      <w:tr>
        <w:trPr>
          <w:trHeight w:val="299"/>
        </w:trPr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--3"/>
            </w:pPr>
            <w:r>
              <w:t xml:space="preserve">Максимальное время единовременной внеплановой полной недоступности Системы за этап без учета недоступности по вине третьих лиц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--3"/>
            </w:pPr>
            <w:r>
              <w:t xml:space="preserve">24 часа</w:t>
            </w:r>
          </w:p>
        </w:tc>
      </w:tr>
      <w:tr>
        <w:trPr>
          <w:trHeight w:val="299"/>
        </w:trPr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--3"/>
            </w:pPr>
            <w:r>
              <w:t xml:space="preserve">Максимальное время единовременной внеплановой полной недоступности Системы за этап без учета недоступности по вине третьих лиц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--3"/>
            </w:pPr>
            <w:r>
              <w:t xml:space="preserve">24 часа</w:t>
            </w:r>
          </w:p>
        </w:tc>
      </w:tr>
    </w:tbl>
    <w:p/>
    <w:p>
      <w:pPr>
        <w:keepNext/>
        <w:numPr>
          <w:numId w:val="31"/>
          <w:ilvl w:val="0"/>
        </w:numPr>
        <w:spacing w:before="240" w:after="12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Регламентные сроки обработки обращений</w:t>
      </w:r>
    </w:p>
    <w:p>
      <w:pPr>
        <w:spacing w:after="0" w:line="360" w:lineRule="auto"/>
        <w:ind w:firstLine="851"/>
        <w:jc w:val="both"/>
      </w:pPr>
      <w:r>
        <w:rPr>
          <w:rFonts w:eastAsia="Times New Roman" w:cs="Times New Roman"/>
          <w:szCs w:val="24"/>
          <w:lang w:eastAsia="ru-RU" w:bidi="en-US"/>
        </w:rPr>
        <w:t xml:space="preserve">Контрольные сроки по каждому виду обращений приведены ниже 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_Ref172643441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Таблица А.5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).</w:t>
      </w:r>
    </w:p>
    <w:p>
      <w:r>
        <w:t xml:space="preserve">Таблица А.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– </w:t>
      </w:r>
      <w:r>
        <w:rPr>
          <w:rFonts w:eastAsia="Arial Unicode MS" w:cs="Times New Roman"/>
          <w:bCs/>
          <w:szCs w:val="24"/>
          <w:lang w:bidi="en-US"/>
        </w:rPr>
        <w:t xml:space="preserve">Контрольные сроки обработки обращений</w:t>
      </w:r>
    </w:p>
    <w:tbl>
      <w:tblPr>
        <w:tblW w:w="93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380"/>
        <w:gridCol w:w="1790"/>
        <w:gridCol w:w="2304"/>
        <w:gridCol w:w="2304"/>
      </w:tblGrid>
      <w:tr>
        <w:trPr>
          <w:trHeight w:val="20"/>
        </w:trPr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pStyle w:val="--9"/>
            </w:pPr>
            <w:r>
              <w:t xml:space="preserve">№ </w:t>
            </w:r>
          </w:p>
          <w:p>
            <w:pPr>
              <w:pStyle w:val="--9"/>
            </w:pPr>
            <w:r>
              <w:t xml:space="preserve">п/п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9"/>
            </w:pPr>
            <w:r>
              <w:t xml:space="preserve">Тип обращения 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9"/>
            </w:pPr>
            <w:r>
              <w:t xml:space="preserve">Приоритет 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9"/>
            </w:pPr>
            <w:r>
              <w:t xml:space="preserve">Контрольный срок решения без необходимости привлечения 3ЛП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pStyle w:val="--9"/>
            </w:pPr>
            <w:r>
              <w:t xml:space="preserve">Контрольный срок решения при необходимости привлечения 3ЛП</w:t>
            </w:r>
          </w:p>
        </w:tc>
      </w:tr>
      <w:tr>
        <w:trPr>
          <w:trHeight w:val="20"/>
        </w:trPr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3"/>
            </w:pPr>
            <w:r>
              <w:t xml:space="preserve">Информационный запрос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3"/>
            </w:pPr>
            <w:r>
              <w:t xml:space="preserve">Средний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3"/>
              <w:rPr>
                <w:lang w:eastAsia="ru-RU"/>
              </w:rPr>
            </w:pPr>
            <w:r>
              <w:rPr>
                <w:lang w:eastAsia="ru-RU"/>
              </w:rPr>
              <w:t xml:space="preserve">45 рабочих часов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pStyle w:val="--3"/>
              <w:rPr>
                <w:lang w:eastAsia="ru-RU"/>
              </w:rPr>
            </w:pPr>
            <w:r>
              <w:rPr>
                <w:lang w:eastAsia="ru-RU"/>
              </w:rPr>
              <w:t xml:space="preserve">360 рабочих часов</w:t>
            </w:r>
          </w:p>
        </w:tc>
      </w:tr>
      <w:tr>
        <w:trPr>
          <w:trHeight w:val="20"/>
        </w:trPr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3"/>
            </w:pPr>
            <w:r>
              <w:t xml:space="preserve">Запрос на изменение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3"/>
            </w:pPr>
            <w:r>
              <w:t xml:space="preserve">Низкий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pStyle w:val="--3"/>
              <w:rPr>
                <w:lang w:eastAsia="ru-RU"/>
              </w:rPr>
            </w:pPr>
            <w:r>
              <w:rPr>
                <w:lang w:eastAsia="ru-RU"/>
              </w:rPr>
              <w:t xml:space="preserve">180 рабочих часов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pStyle w:val="--3"/>
              <w:rPr>
                <w:lang w:eastAsia="ru-RU"/>
              </w:rPr>
            </w:pPr>
            <w:r>
              <w:rPr>
                <w:lang w:eastAsia="ru-RU"/>
              </w:rPr>
              <w:t xml:space="preserve">480 рабочих часов (в случае, если иные стоки не согласованы Исполнителем и Заказчиком)</w:t>
            </w:r>
          </w:p>
        </w:tc>
      </w:tr>
    </w:tbl>
    <w:p>
      <w:pPr>
        <w:keepNext/>
        <w:numPr>
          <w:numId w:val="31"/>
          <w:ilvl w:val="0"/>
        </w:numPr>
        <w:spacing w:before="240" w:after="12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 Регламентные сроки решения инцидентов</w:t>
      </w:r>
    </w:p>
    <w:p>
      <w:pPr>
        <w:pStyle w:val="-0"/>
      </w:pPr>
      <w:r>
        <w:t xml:space="preserve">В зависимости от уровня сбоя в работе Системы инциденту присваивается один из следующих приоритетов в соответствии с таблицей ниже </w:t>
      </w:r>
      <w:r>
        <w:rPr>
          <w:lang w:bidi="en-US"/>
        </w:rPr>
        <w:t xml:space="preserve">(</w:t>
      </w:r>
      <w:r>
        <w:rPr>
          <w:lang w:bidi="en-US"/>
        </w:rPr>
        <w:fldChar w:fldCharType="begin"/>
      </w:r>
      <w:r>
        <w:rPr>
          <w:lang w:bidi="en-US"/>
        </w:rPr>
        <w:instrText xml:space="preserve"> REF _Ref172643448 \h </w:instrText>
      </w:r>
      <w:r>
        <w:rPr>
          <w:lang w:bidi="en-US"/>
        </w:rPr>
      </w:r>
      <w:r>
        <w:rPr>
          <w:lang w:bidi="en-US"/>
        </w:rPr>
        <w:fldChar w:fldCharType="separate"/>
      </w:r>
      <w:r>
        <w:t xml:space="preserve">Таблица А.6</w:t>
      </w:r>
      <w:r>
        <w:rPr>
          <w:lang w:bidi="en-US"/>
        </w:rPr>
        <w:fldChar w:fldCharType="end"/>
      </w:r>
      <w:r>
        <w:rPr>
          <w:lang w:bidi="en-US"/>
        </w:rPr>
        <w:t xml:space="preserve">).</w:t>
      </w:r>
    </w:p>
    <w:p>
      <w:pPr>
        <w:keepNext/>
        <w:spacing w:before="120" w:after="120"/>
        <w:jc w:val="both"/>
      </w:pPr>
      <w:r>
        <w:t xml:space="preserve">Таблица А.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6</w:t>
      </w:r>
      <w:r>
        <w:fldChar w:fldCharType="end"/>
      </w:r>
      <w:r>
        <w:rPr>
          <w:rFonts w:eastAsia="Arial Unicode MS" w:cs="Times New Roman"/>
          <w:bCs/>
          <w:szCs w:val="24"/>
          <w:lang w:bidi="en-US"/>
        </w:rPr>
        <w:t xml:space="preserve"> </w:t>
      </w:r>
      <w:r>
        <w:rPr>
          <w:szCs w:val="24"/>
        </w:rPr>
        <w:t xml:space="preserve">– Приоритеты инцидентов</w:t>
      </w:r>
    </w:p>
    <w:tbl>
      <w:tblPr>
        <w:tblW w:w="4995" w:type="pct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1654"/>
        <w:gridCol w:w="4548"/>
        <w:gridCol w:w="2607"/>
      </w:tblGrid>
      <w:tr>
        <w:trPr>
          <w:cantSplit/>
          <w:trHeight w:val="20"/>
          <w:tblHeader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9"/>
            </w:pPr>
            <w:r>
              <w:t xml:space="preserve">№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9"/>
            </w:pPr>
            <w:r>
              <w:t xml:space="preserve">Приоритет «инцидента»</w:t>
            </w:r>
          </w:p>
        </w:tc>
        <w:tc>
          <w:tcPr>
            <w:tcW w:w="4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9"/>
            </w:pPr>
            <w:r>
              <w:t xml:space="preserve">Классифицирующие признаки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9"/>
            </w:pPr>
            <w:r>
              <w:t xml:space="preserve">Типы ошибок (примеры)</w:t>
            </w:r>
          </w:p>
        </w:tc>
      </w:tr>
      <w:tr>
        <w:trPr>
          <w:cantSplit/>
          <w:trHeight w:val="20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3"/>
              <w:jc w:val="center"/>
            </w:pPr>
            <w:r>
              <w:t xml:space="preserve">1.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3"/>
            </w:pPr>
            <w:r>
              <w:t xml:space="preserve">Критический</w:t>
            </w:r>
            <w:r>
              <w:rPr>
                <w:rStyle w:val="af2"/>
                <w:rFonts w:eastAsia="Calibri"/>
              </w:rPr>
              <w:footnoteReference w:id="1"/>
            </w:r>
          </w:p>
        </w:tc>
        <w:tc>
          <w:tcPr>
            <w:tcW w:w="4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3"/>
            </w:pPr>
            <w:r>
              <w:t xml:space="preserve">Отказ в работе ЕИСЗ ПК, приводящий к:</w:t>
            </w:r>
          </w:p>
          <w:p>
            <w:pPr>
              <w:pStyle w:val="--3"/>
              <w:numPr>
                <w:numId w:val="34"/>
                <w:ilvl w:val="0"/>
              </w:numPr>
              <w:tabs>
                <w:tab w:val="left" w:pos="270"/>
              </w:tabs>
              <w:ind w:left="272" w:hanging="272"/>
            </w:pPr>
            <w:r>
              <w:t xml:space="preserve">полной недоступности ЕИСЗ ПК для всех пользователей;</w:t>
            </w:r>
          </w:p>
          <w:p>
            <w:pPr>
              <w:pStyle w:val="--3"/>
              <w:numPr>
                <w:numId w:val="34"/>
                <w:ilvl w:val="0"/>
              </w:numPr>
              <w:tabs>
                <w:tab w:val="left" w:pos="270"/>
              </w:tabs>
              <w:ind w:left="272" w:hanging="283"/>
            </w:pPr>
            <w:r>
              <w:t xml:space="preserve">недоступности одной или нескольких функций, входящих в перечень ключевой функциональности</w:t>
            </w:r>
            <w:r>
              <w:rPr>
                <w:rStyle w:val="af2"/>
              </w:rPr>
              <w:footnoteReference w:id="2"/>
            </w:r>
            <w:r>
              <w:t xml:space="preserve"> ЕИСЗ ПК, для всех пользователей;</w:t>
            </w:r>
          </w:p>
          <w:p>
            <w:pPr>
              <w:pStyle w:val="--3"/>
              <w:tabs>
                <w:tab w:val="left" w:pos="270"/>
              </w:tabs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3"/>
              <w:ind w:left="60"/>
            </w:pPr>
            <w:r>
              <w:t xml:space="preserve">ЕИСЗ ПК не доступна для всех пользователей</w:t>
            </w:r>
          </w:p>
          <w:p>
            <w:pPr>
              <w:pStyle w:val="--3"/>
              <w:ind w:left="60"/>
            </w:pPr>
            <w:r>
              <w:t xml:space="preserve">ЭМК не сохраняется для всех пользователей</w:t>
            </w:r>
          </w:p>
          <w:p>
            <w:pPr>
              <w:pStyle w:val="--3"/>
              <w:ind w:left="60"/>
            </w:pPr>
          </w:p>
        </w:tc>
      </w:tr>
      <w:tr>
        <w:trPr>
          <w:cantSplit/>
          <w:trHeight w:val="20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3"/>
              <w:jc w:val="center"/>
            </w:pPr>
            <w:r>
              <w:t xml:space="preserve">2.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3"/>
            </w:pPr>
            <w:r>
              <w:t xml:space="preserve">Высокий</w:t>
            </w:r>
          </w:p>
        </w:tc>
        <w:tc>
          <w:tcPr>
            <w:tcW w:w="4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3"/>
            </w:pPr>
            <w:r>
              <w:t xml:space="preserve">Отказ в работе ЕИСЗ ПК, приводящий к:</w:t>
            </w:r>
          </w:p>
          <w:p>
            <w:pPr>
              <w:pStyle w:val="--3"/>
              <w:numPr>
                <w:numId w:val="35"/>
                <w:ilvl w:val="0"/>
              </w:numPr>
              <w:tabs>
                <w:tab w:val="left" w:pos="270"/>
              </w:tabs>
              <w:ind w:left="272" w:hanging="283"/>
            </w:pPr>
            <w:r>
              <w:t xml:space="preserve">недоступности одной или нескольких функций ЕИСЗ ПК для всех пользователей;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3"/>
              <w:ind w:left="60"/>
            </w:pPr>
            <w:r>
              <w:t xml:space="preserve">Недоступна функция вывода на печать документа (ключевой или неключевой функциональности) для всех пользователей</w:t>
            </w:r>
          </w:p>
        </w:tc>
      </w:tr>
      <w:tr>
        <w:trPr>
          <w:cantSplit/>
          <w:trHeight w:val="20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3"/>
              <w:jc w:val="center"/>
            </w:pPr>
            <w:r>
              <w:t xml:space="preserve">3.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3"/>
            </w:pPr>
            <w:r>
              <w:t xml:space="preserve">Средний</w:t>
            </w:r>
          </w:p>
        </w:tc>
        <w:tc>
          <w:tcPr>
            <w:tcW w:w="4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--3"/>
            </w:pPr>
            <w:r>
              <w:t xml:space="preserve">Отказ в работе ЕИСЗ ПК, приводящий к:</w:t>
            </w:r>
          </w:p>
          <w:p>
            <w:pPr>
              <w:pStyle w:val="--3"/>
              <w:numPr>
                <w:numId w:val="35"/>
                <w:ilvl w:val="0"/>
              </w:numPr>
              <w:ind w:left="272" w:hanging="283"/>
            </w:pPr>
            <w:r>
              <w:t xml:space="preserve">недоступности или снижению быстродействия (более 90 секунд) одной или нескольких функций, входящих в перечень ключевой функциональности ЕИСЗ ПК, для одного или нескольких пользователей.</w:t>
            </w:r>
          </w:p>
          <w:p>
            <w:pPr>
              <w:pStyle w:val="--3"/>
              <w:numPr>
                <w:numId w:val="35"/>
                <w:ilvl w:val="0"/>
              </w:numPr>
              <w:ind w:left="272" w:hanging="283"/>
            </w:pPr>
            <w:r>
              <w:t xml:space="preserve">инциденты без утраты ЕИСЗ ПК способности обеспечить выполнение всех функций, входящих в перечень ключевой функциональности, для одного или нескольких пользователей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--3"/>
              <w:ind w:left="61"/>
            </w:pPr>
            <w:r>
              <w:t xml:space="preserve">Отсутствие доступа в АРМ «Врач поликлиники» для нескольких пользователей. </w:t>
            </w:r>
          </w:p>
          <w:p>
            <w:pPr>
              <w:pStyle w:val="--3"/>
              <w:ind w:left="61"/>
            </w:pPr>
            <w:r>
              <w:t xml:space="preserve">Медленная работа (более 90 секунд) в ЕИСЗ ПК АРМ «Врач поликлиники» для нескольких пользователей.</w:t>
            </w:r>
          </w:p>
        </w:tc>
      </w:tr>
    </w:tbl>
    <w:p>
      <w:pPr>
        <w:spacing w:after="0" w:line="360" w:lineRule="auto"/>
        <w:ind w:firstLine="851"/>
        <w:jc w:val="both"/>
      </w:pPr>
      <w:r>
        <w:t xml:space="preserve">В зависимости от приоритета инцидентов устанавливаются следующие контрольные сроки решения инцидентов </w:t>
      </w:r>
      <w:r>
        <w:rPr>
          <w:rFonts w:eastAsia="Times New Roman" w:cs="Times New Roman"/>
          <w:szCs w:val="24"/>
          <w:lang w:eastAsia="ru-RU" w:bidi="en-US"/>
        </w:rPr>
        <w:t xml:space="preserve">(</w:t>
      </w:r>
      <w:r>
        <w:rPr>
          <w:rFonts w:eastAsia="Times New Roman" w:cs="Times New Roman"/>
          <w:szCs w:val="24"/>
          <w:lang w:eastAsia="ru-RU" w:bidi="en-US"/>
        </w:rPr>
        <w:fldChar w:fldCharType="begin"/>
      </w:r>
      <w:r>
        <w:rPr>
          <w:rFonts w:eastAsia="Times New Roman" w:cs="Times New Roman"/>
          <w:szCs w:val="24"/>
          <w:lang w:eastAsia="ru-RU" w:bidi="en-US"/>
        </w:rPr>
        <w:instrText xml:space="preserve"> REF _Ref172643458 \h </w:instrText>
      </w:r>
      <w:r>
        <w:rPr>
          <w:rFonts w:eastAsia="Times New Roman" w:cs="Times New Roman"/>
          <w:szCs w:val="24"/>
          <w:lang w:eastAsia="ru-RU" w:bidi="en-US"/>
        </w:rPr>
      </w:r>
      <w:r>
        <w:rPr>
          <w:rFonts w:eastAsia="Times New Roman" w:cs="Times New Roman"/>
          <w:szCs w:val="24"/>
          <w:lang w:eastAsia="ru-RU" w:bidi="en-US"/>
        </w:rPr>
        <w:fldChar w:fldCharType="separate"/>
      </w:r>
      <w:r>
        <w:t xml:space="preserve">Таблица А.7</w:t>
      </w:r>
      <w:r>
        <w:rPr>
          <w:rFonts w:eastAsia="Times New Roman" w:cs="Times New Roman"/>
          <w:szCs w:val="24"/>
          <w:lang w:eastAsia="ru-RU" w:bidi="en-US"/>
        </w:rPr>
        <w:fldChar w:fldCharType="end"/>
      </w:r>
      <w:r>
        <w:rPr>
          <w:rFonts w:eastAsia="Times New Roman" w:cs="Times New Roman"/>
          <w:szCs w:val="24"/>
          <w:lang w:eastAsia="ru-RU" w:bidi="en-US"/>
        </w:rPr>
        <w:t xml:space="preserve">).</w:t>
      </w:r>
    </w:p>
    <w:p>
      <w:pPr>
        <w:keepNext/>
        <w:spacing w:before="120" w:after="120"/>
        <w:jc w:val="both"/>
      </w:pPr>
      <w:r>
        <w:t xml:space="preserve">Таблица А.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7</w:t>
      </w:r>
      <w:r>
        <w:fldChar w:fldCharType="end"/>
      </w:r>
      <w:r>
        <w:t xml:space="preserve"> – </w:t>
      </w:r>
      <w:r>
        <w:rPr>
          <w:rFonts w:eastAsia="Arial Unicode MS" w:cs="Times New Roman"/>
          <w:bCs/>
          <w:szCs w:val="24"/>
          <w:lang w:bidi="en-US"/>
        </w:rPr>
        <w:t xml:space="preserve">Контрольные сроки решения инцидентов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3962"/>
        <w:gridCol w:w="2514"/>
        <w:gridCol w:w="2513"/>
      </w:tblGrid>
      <w:tr>
        <w:trPr>
          <w:trHeight w:val="20"/>
          <w:tblHeader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9"/>
            </w:pPr>
            <w:r>
              <w:t xml:space="preserve">№ </w:t>
            </w:r>
          </w:p>
          <w:p>
            <w:pPr>
              <w:pStyle w:val="--9"/>
            </w:pPr>
            <w:r>
              <w:t xml:space="preserve">п/п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9"/>
            </w:pPr>
            <w:r>
              <w:t xml:space="preserve">Приоритет 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9"/>
            </w:pPr>
            <w:r>
              <w:t xml:space="preserve">Контрольный срок решения без необходимости внесения изменений в исходный код СПО Системы (1ЛП, 2 ЛП)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9"/>
            </w:pPr>
            <w:r>
              <w:t xml:space="preserve">Контрольный срок решения при необходимости внесения изменений в исходный код СПО Системы (3ЛП)</w:t>
            </w:r>
          </w:p>
        </w:tc>
      </w:tr>
      <w:tr>
        <w:trPr>
          <w:trHeight w:val="20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a5"/>
              <w:numPr>
                <w:numId w:val="36"/>
                <w:ilvl w:val="0"/>
              </w:num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3"/>
            </w:pPr>
            <w:r>
              <w:rPr>
                <w:iCs/>
              </w:rPr>
              <w:t xml:space="preserve">Критический 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3"/>
            </w:pPr>
            <w:r>
              <w:rPr>
                <w:iCs/>
                <w:lang w:eastAsia="ru-RU"/>
              </w:rPr>
              <w:t xml:space="preserve">не более 4 часов </w:t>
            </w:r>
            <w:r>
              <w:rPr>
                <w:iCs/>
                <w:szCs w:val="22"/>
                <w:lang w:eastAsia="ru-RU"/>
              </w:rPr>
              <w:t xml:space="preserve">с момента регистрации </w:t>
            </w:r>
            <w:r>
              <w:rPr>
                <w:iCs/>
                <w:szCs w:val="22"/>
                <w:lang w:eastAsia="ru-RU"/>
              </w:rPr>
              <w:t xml:space="preserve">в СУЗ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rPr>
                <w:iCs/>
                <w:lang w:eastAsia="ru-RU"/>
              </w:rPr>
              <w:t xml:space="preserve">не более 24 часов </w:t>
            </w:r>
            <w:r>
              <w:rPr>
                <w:iCs/>
                <w:szCs w:val="22"/>
                <w:lang w:eastAsia="ru-RU"/>
              </w:rPr>
              <w:t xml:space="preserve">с момента регистрации </w:t>
            </w:r>
            <w:r>
              <w:rPr>
                <w:iCs/>
                <w:szCs w:val="22"/>
                <w:lang w:eastAsia="ru-RU"/>
              </w:rPr>
              <w:t xml:space="preserve">в СУЗ</w:t>
            </w:r>
          </w:p>
        </w:tc>
      </w:tr>
      <w:tr>
        <w:trPr>
          <w:trHeight w:val="20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a5"/>
              <w:numPr>
                <w:numId w:val="36"/>
                <w:ilvl w:val="0"/>
              </w:num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3"/>
            </w:pPr>
            <w:r>
              <w:rPr>
                <w:iCs/>
              </w:rPr>
              <w:t xml:space="preserve">Высокий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3"/>
            </w:pPr>
            <w:r>
              <w:rPr>
                <w:iCs/>
                <w:lang w:eastAsia="ru-RU"/>
              </w:rPr>
              <w:t xml:space="preserve">не более 19 рабочих часов </w:t>
            </w:r>
            <w:r>
              <w:rPr>
                <w:iCs/>
                <w:szCs w:val="22"/>
                <w:lang w:eastAsia="ru-RU"/>
              </w:rPr>
              <w:t xml:space="preserve">с момента регистрации в СУЗ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rPr>
                <w:iCs/>
                <w:lang w:eastAsia="ru-RU"/>
              </w:rPr>
              <w:t xml:space="preserve">не более 63 рабочих часов </w:t>
            </w:r>
            <w:r>
              <w:rPr>
                <w:iCs/>
                <w:szCs w:val="22"/>
                <w:lang w:eastAsia="ru-RU"/>
              </w:rPr>
              <w:t xml:space="preserve">с момента регистрации в СУЗ </w:t>
            </w:r>
          </w:p>
        </w:tc>
      </w:tr>
      <w:tr>
        <w:trPr>
          <w:trHeight w:val="20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a5"/>
              <w:numPr>
                <w:numId w:val="36"/>
                <w:ilvl w:val="0"/>
              </w:num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3"/>
              <w:rPr>
                <w:iCs/>
              </w:rPr>
            </w:pPr>
            <w:r>
              <w:rPr>
                <w:iCs/>
              </w:rPr>
              <w:t xml:space="preserve">Средний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  <w:vAlign w:val="center"/>
          </w:tcPr>
          <w:p>
            <w:pPr>
              <w:pStyle w:val="--3"/>
            </w:pPr>
            <w:r>
              <w:rPr>
                <w:iCs/>
                <w:lang w:eastAsia="ru-RU"/>
              </w:rPr>
              <w:t xml:space="preserve">не более 45 рабочих часов </w:t>
            </w:r>
            <w:r>
              <w:rPr>
                <w:iCs/>
                <w:szCs w:val="22"/>
                <w:lang w:eastAsia="ru-RU"/>
              </w:rPr>
              <w:t xml:space="preserve">с момента регистрации в СУЗ 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3" w:type="dxa"/>
              <w:top w:w="57" w:type="dxa"/>
              <w:right w:w="113" w:type="dxa"/>
              <w:bottom w:w="57" w:type="dxa"/>
            </w:tcMar>
          </w:tcPr>
          <w:p>
            <w:pPr>
              <w:pStyle w:val="--3"/>
            </w:pPr>
            <w:r>
              <w:rPr>
                <w:iCs/>
                <w:lang w:eastAsia="ru-RU"/>
              </w:rPr>
              <w:t xml:space="preserve">не более 360 рабочих часов </w:t>
            </w:r>
            <w:r>
              <w:rPr>
                <w:iCs/>
                <w:szCs w:val="22"/>
                <w:lang w:eastAsia="ru-RU"/>
              </w:rPr>
              <w:t xml:space="preserve">с момента регистрации в СУЗ </w:t>
            </w:r>
          </w:p>
        </w:tc>
      </w:tr>
    </w:tbl>
    <w:p>
      <w:pPr>
        <w:spacing w:after="0"/>
        <w:rPr>
          <w:rFonts w:cs="Times New Roman"/>
          <w:szCs w:val="24"/>
        </w:rPr>
        <w:sectPr>
          <w:headerReference w:type="default" r:id="rId10"/>
          <w:pgSz w:w="11900" w:h="16840"/>
          <w:pgMar w:top="1134" w:right="850" w:bottom="1134" w:left="1701" w:header="454" w:footer="720" w:gutter="0"/>
          <w:cols w:space="720"/>
          <w:docGrid w:linePitch="360"/>
        </w:sectPr>
      </w:pPr>
    </w:p>
    <w:p>
      <w:pPr>
        <w:pStyle w:val="10"/>
        <w:jc w:val="center"/>
        <w:rPr>
          <w:b w:val="0"/>
        </w:rPr>
      </w:pPr>
      <w:r>
        <w:t xml:space="preserve">Приложение Б</w:t>
      </w:r>
    </w:p>
    <w:p>
      <w:pPr>
        <w:ind w:firstLine="709"/>
        <w:jc w:val="righ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к Техническим условиям </w:t>
      </w:r>
    </w:p>
    <w:p>
      <w:pPr>
        <w:ind w:firstLine="709"/>
        <w:jc w:val="center"/>
      </w:pPr>
    </w:p>
    <w:p>
      <w:pPr>
        <w:spacing w:after="200" w:line="276" w:lineRule="auto"/>
        <w:jc w:val="center"/>
        <w:rPr>
          <w:rFonts w:eastAsia="Liberation Sans" w:cs="Times New Roman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 xml:space="preserve">Порядок направления заявок уполномоченными лицами в службу технической поддержки Единой информационной системы здравоохранения Пермского края </w:t>
      </w:r>
    </w:p>
    <w:p>
      <w:pPr>
        <w:numPr>
          <w:numId w:val="48"/>
          <w:ilvl w:val="0"/>
        </w:numPr>
        <w:spacing w:after="0" w:line="276" w:lineRule="auto"/>
        <w:ind w:left="0" w:firstLine="720"/>
        <w:contextualSpacing/>
        <w:jc w:val="both"/>
        <w:rPr>
          <w:rFonts w:eastAsia="Liberation Sans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Общие положения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Liberation Sans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Настоящий порядок разработан с целью контроля направления заявок пользователей Единой информационной системы здравоохранения Пермского края (далее – ЕИСЗ ПК) в службу технической поддержки (далее – СТП) и определяет порядок ведения перечня уполномоченных лиц и способы направления заявок в СТП ЕИСЗ ПК.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Уполномоченные лица – сотрудники медицинских организаций, наделенные полномочиями по направлению заявок в СТП ЕИСЗ ПК согласно следующим направлениям: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удаление или редактирование любого оплаченного случая ОМС в ЕИСЗ ПК;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удаление или редактирование не оплаченных случаев и их зависимых сущностей при отсутствии возможности удаления или редактирования пользователем;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изменение стоимости случая лечения в ЕИСЗ ПК или атрибутов влияющих на стоимость случая;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изменение персональных данных пациентов в ЕИСЗ ПК;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удаление или объединение дублей пациентов в ЕИСЗ ПК.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Представленный перечень заявок по направлениям, согласно пункту 1.2 настоящего Порядка, не ограничивает уполномоченных лиц в направлении других заявок в адрес СТП ЕИСЗ ПК. </w:t>
      </w:r>
    </w:p>
    <w:p>
      <w:pPr>
        <w:numPr>
          <w:numId w:val="48"/>
          <w:ilvl w:val="0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Порядок ведения перечня уполномоченных лиц медицинских организаций Пермского края, имеющих право направлять заявки в СТП ЕИСЗ ПК согласно пункту 1.2. настоящего Порядка (далее – Перечень уполномоченных).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Руководитель медицинской организации определяет Перечень уполномоченных в рамках своей организации и направляет официальным письмом в адрес ГКУЗ ПК «МИАЦ».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ГКУЗ ПК «МИАЦ» обеспечивает ведение и актуализацию Перечня уполномоченных по Пермскому краю, в том числе доведения Перечня уполномоченных до СТП ЕИСЗ ПК.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Сроки формирования и актуализации Перечня уполномоченных. </w:t>
      </w:r>
    </w:p>
    <w:p>
      <w:pPr>
        <w:numPr>
          <w:numId w:val="48"/>
          <w:ilvl w:val="2"/>
        </w:numPr>
        <w:spacing w:after="0" w:line="276" w:lineRule="auto"/>
        <w:ind w:left="0" w:firstLine="696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Медицинская организация направляет первичный Перечень уполномоченных в адрес ГКУЗ ПК МИАЦ. Далее Перечень уполномоченных направляется только в случае изменения состава с приложением полного списка уполномоченных лиц. Ответственность за направление актуального Перечня уполномоченных возлагается на руководителя медицинской организации. </w:t>
      </w:r>
    </w:p>
    <w:p>
      <w:pPr>
        <w:numPr>
          <w:numId w:val="48"/>
          <w:ilvl w:val="2"/>
        </w:numPr>
        <w:spacing w:after="0" w:line="276" w:lineRule="auto"/>
        <w:ind w:left="0" w:firstLine="696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ГКУЗ ПК «МИАЦ» проводит на постоянной основе сбор, сверку и согласование уполномоченных лиц от медицинских организаций. Ведет итоговый Перечень уполномоченных. </w:t>
      </w:r>
    </w:p>
    <w:p>
      <w:pPr>
        <w:numPr>
          <w:numId w:val="48"/>
          <w:ilvl w:val="2"/>
        </w:numPr>
        <w:spacing w:after="0" w:line="276" w:lineRule="auto"/>
        <w:ind w:left="0" w:firstLine="696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ГКУЗ ПК «МИАЦ» ежеквартально в течении 10 рабочих дней ( в период с 1 по 15 числа начала каждого квартала) направляет уточненный Перечень уполномоченных в адрес ГБУ ПК «ЦИР ПК» и контролирует доведения Перечня уполномоченных до СТП ЕИСЗ ПК. </w:t>
      </w:r>
    </w:p>
    <w:p>
      <w:pPr>
        <w:numPr>
          <w:numId w:val="48"/>
          <w:ilvl w:val="2"/>
        </w:numPr>
        <w:spacing w:after="0" w:line="276" w:lineRule="auto"/>
        <w:ind w:left="0" w:firstLine="696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 случае удаления сотрудника из Перечня уполномоченных ГКУЗ ПК «МИАЦ» направляет информацию в СТП ЕИСЗ ПК незамедлительно.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Допускается включать в Перечень уполномоченных: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до 6 сотрудников на юридическое лицо для крупных медицинских организаций (в штатном расписании более 300 медицинских работников)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до 3 сотрудников на юридическое лицо для других медицинских организаций. </w:t>
      </w:r>
    </w:p>
    <w:p>
      <w:pPr>
        <w:numPr>
          <w:numId w:val="48"/>
          <w:ilvl w:val="0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Способы направления Перечня уполномоченных для медицинских организаций в адрес ГКУЗ ПК «МИАЦ».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Медицинская организация, являющаяся подведомственной организацией Министерства здравоохранения Пермского края, направляет Перечень уполномоченных официальным письмом посредством Системы электронного документооборота Пермского края .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Иные медицинские организации направляют Перечень уполномоченных официальным письмом на официальный адрес ГКУЗ ПК «МИАЦ» </w:t>
      </w:r>
      <w:hyperlink r:id="rId21" w:tooltip="mailto:info@miac.permkrai.ru." w:history="1">
        <w:r>
          <w:rPr>
            <w:rFonts w:eastAsia="Times New Roman" w:cs="Times New Roman"/>
            <w:color w:val="000000"/>
            <w:sz w:val="28"/>
            <w:szCs w:val="28"/>
          </w:rPr>
          <w:t xml:space="preserve">info@miac.permkrai.ru с официального электронного адреса юридического лица.</w:t>
        </w:r>
      </w:hyperlink>
      <w:r>
        <w:rPr>
          <w:rFonts w:eastAsia="Times New Roman" w:cs="Times New Roman"/>
          <w:color w:val="000000"/>
          <w:sz w:val="28"/>
          <w:szCs w:val="28"/>
        </w:rPr>
        <w:t xml:space="preserve">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Форма письма, включая форму Перечня уполномоченных, прилагается к Порядку.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 случае направления Перечня уполномоченных с неподтвержденных или не идентифицированных электронных адресов заявки приниматься не будут. </w:t>
      </w:r>
    </w:p>
    <w:p>
      <w:pPr>
        <w:numPr>
          <w:numId w:val="48"/>
          <w:ilvl w:val="0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Способы направления заявок в СТП ЕИСЗ ПК уполномоченными лицами: 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на электронный адрес СТП: </w:t>
      </w:r>
      <w:hyperlink r:id="rId22" w:tooltip="mailto:stp.mis@rtmis.ru" w:history="1">
        <w:r>
          <w:rPr>
            <w:rFonts w:eastAsia="Times New Roman" w:cs="Times New Roman"/>
            <w:color w:val="0563c1"/>
            <w:sz w:val="28"/>
            <w:szCs w:val="28"/>
            <w:u w:val="single"/>
          </w:rPr>
          <w:t xml:space="preserve">stp.mis@rtmis.ru</w:t>
        </w:r>
      </w:hyperlink>
      <w:r>
        <w:rPr>
          <w:rFonts w:eastAsia="Times New Roman" w:cs="Times New Roman"/>
          <w:color w:val="000000"/>
          <w:sz w:val="28"/>
          <w:szCs w:val="28"/>
        </w:rPr>
        <w:t xml:space="preserve">;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на Портал самообслуживания: https://skuf-portal.rtmis.ru.</w:t>
      </w:r>
    </w:p>
    <w:p>
      <w:pPr>
        <w:numPr>
          <w:numId w:val="48"/>
          <w:ilvl w:val="0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Требования к содержанию заявки.</w:t>
      </w:r>
    </w:p>
    <w:p>
      <w:pPr>
        <w:numPr>
          <w:numId w:val="48"/>
          <w:ilvl w:val="1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Уполномоченному лицу при подаче заявки необходимо указать: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Данные заявителя: Ф. И. О., должность, название организации, контактный телефон (данные должны совпадать с данными из Перечня уполномоченных).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рабочий электронный адрес (должен совпадать с данными из Перечня уполномоченных).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Описание проблемы/запроса.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Перечень предполагаемых изменений, требующих внесение в ЕИСЗ ПК согласно пункту 1.2 настоящего Порядка. </w:t>
      </w:r>
    </w:p>
    <w:p>
      <w:pPr>
        <w:numPr>
          <w:numId w:val="48"/>
          <w:ilvl w:val="2"/>
        </w:numPr>
        <w:spacing w:after="0" w:line="276" w:lineRule="auto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Обоснование необходимости внесения изменений в ЕИСЗ ПК. </w:t>
      </w:r>
    </w:p>
    <w:p>
      <w:pPr>
        <w:numPr>
          <w:numId w:val="48"/>
          <w:ilvl w:val="0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 случае направления заявки в СТП сотрудником медицинской организации, не включенные в Перечень уполномоченных, заявка будет отклонена. </w:t>
      </w:r>
    </w:p>
    <w:p>
      <w:pPr>
        <w:numPr>
          <w:numId w:val="48"/>
          <w:ilvl w:val="0"/>
        </w:numPr>
        <w:spacing w:after="0" w:line="276" w:lineRule="auto"/>
        <w:ind w:left="0" w:firstLine="720"/>
        <w:contextualSpacing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Все заявки, направленные в СТП ЕИСЗ ПК, вне зависимости от обоснованности и достоверности могут быть отклонены по объективным причинам. </w:t>
      </w:r>
    </w:p>
    <w:p>
      <w:pPr>
        <w:spacing w:after="200" w:line="276" w:lineRule="auto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br w:type="page" w:clear="all"/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480" w:line="240" w:lineRule="exact"/>
        <w:ind w:left="240" w:hanging="240"/>
        <w:rPr>
          <w:rFonts w:eastAsia="Times New Roman" w:cs="Times New Roman"/>
          <w:b/>
          <w:sz w:val="28"/>
          <w:szCs w:val="20"/>
          <w:lang w:eastAsia="ru-RU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7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ge">
                  <wp:posOffset>622935</wp:posOffset>
                </wp:positionV>
                <wp:extent cx="3238500" cy="1783080"/>
                <wp:effectExtent l="0" t="0" r="0" b="0"/>
                <wp:wrapNone/>
                <wp:docPr id="13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3238500" cy="178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ffffa"/>
                              <w:spacing w:after="120"/>
                            </w:pPr>
                            <w:r>
                              <w:rPr>
                                <w:szCs w:val="28"/>
                              </w:rPr>
                              <w:t xml:space="preserve">Директору </w:t>
                            </w:r>
                            <w:r>
                              <w:rPr>
                                <w:szCs w:val="28"/>
                              </w:rPr>
                              <w:br/>
                              <w:t xml:space="preserve">ГКУЗ ПК «МИАЦ»</w:t>
                            </w:r>
                          </w:p>
                          <w:p>
                            <w:pPr>
                              <w:pStyle w:val="affffa"/>
                              <w:spacing w:after="120"/>
                            </w:pPr>
                            <w:r>
                              <w:rPr>
                                <w:szCs w:val="28"/>
                              </w:rPr>
                              <w:t xml:space="preserve">Таранову Г.Е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6" o:spid="_x0000_s6" o:spt="202" type="#_x0000_t202" style="position:absolute;z-index:7;o:allowoverlap:true;o:allowincell:true;mso-position-horizontal-relative:page;margin-left:318.75pt;mso-position-horizontal:absolute;mso-position-vertical-relative:page;margin-top:49.05pt;mso-position-vertical:absolute;width:255.00pt;height:140.4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affffa"/>
                        <w:spacing w:after="120"/>
                      </w:pPr>
                      <w:r>
                        <w:rPr>
                          <w:szCs w:val="28"/>
                        </w:rPr>
                        <w:t xml:space="preserve">Директору </w:t>
                      </w:r>
                      <w:r>
                        <w:rPr>
                          <w:szCs w:val="28"/>
                        </w:rPr>
                        <w:br/>
                        <w:t xml:space="preserve">ГКУЗ ПК «МИАЦ»</w:t>
                      </w:r>
                    </w:p>
                    <w:p>
                      <w:pPr>
                        <w:pStyle w:val="affffa"/>
                        <w:spacing w:after="120"/>
                      </w:pPr>
                      <w:r>
                        <w:rPr>
                          <w:szCs w:val="28"/>
                        </w:rPr>
                        <w:t xml:space="preserve">Таранову Г.Е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sz w:val="28"/>
          <w:szCs w:val="20"/>
          <w:lang w:eastAsia="ru-RU"/>
        </w:rPr>
        <w:t xml:space="preserve">БЛАНК ОРГАНИЗАЦИИ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480" w:line="240" w:lineRule="exact"/>
        <w:ind w:left="240" w:hanging="240"/>
        <w:rPr>
          <w:rFonts w:eastAsia="Times New Roman" w:cs="Times New Roman"/>
          <w:b/>
          <w:sz w:val="28"/>
          <w:szCs w:val="20"/>
          <w:lang w:eastAsia="ru-RU"/>
        </w:rPr>
      </w:pP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480" w:line="240" w:lineRule="exact"/>
        <w:ind w:left="240" w:hanging="240"/>
        <w:rPr>
          <w:rFonts w:eastAsia="Times New Roman" w:cs="Times New Roman"/>
          <w:b/>
          <w:sz w:val="28"/>
          <w:szCs w:val="20"/>
          <w:lang w:eastAsia="ru-RU"/>
        </w:rPr>
      </w:pP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480" w:line="240" w:lineRule="exact"/>
        <w:ind w:left="240" w:hanging="240"/>
        <w:rPr>
          <w:rFonts w:eastAsia="Times New Roman" w:cs="Times New Roman"/>
          <w:b/>
          <w:sz w:val="28"/>
          <w:szCs w:val="20"/>
          <w:lang w:eastAsia="ru-RU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2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2202815</wp:posOffset>
                </wp:positionV>
                <wp:extent cx="2639060" cy="784860"/>
                <wp:effectExtent l="0" t="0" r="0" b="0"/>
                <wp:wrapNone/>
                <wp:docPr id="14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26390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ffff9"/>
                              <w:spacing w:before="120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О направлении перечня уполномоченных лиц 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7" o:spid="_x0000_s7" o:spt="202" type="#_x0000_t202" style="position:absolute;z-index:12;o:allowoverlap:true;o:allowincell:true;mso-position-horizontal-relative:page;margin-left:70.80pt;mso-position-horizontal:absolute;mso-position-vertical-relative:page;margin-top:173.45pt;mso-position-vertical:absolute;width:207.80pt;height:61.8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affff9"/>
                        <w:spacing w:before="120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О направлении перечня уполномоченных лиц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9" behindDoc="0" locked="0" layoutInCell="1" allowOverlap="1">
                <wp:simplePos x="0" y="0"/>
                <wp:positionH relativeFrom="page">
                  <wp:posOffset>2346960</wp:posOffset>
                </wp:positionH>
                <wp:positionV relativeFrom="page">
                  <wp:posOffset>2117725</wp:posOffset>
                </wp:positionV>
                <wp:extent cx="1701165" cy="170180"/>
                <wp:effectExtent l="0" t="0" r="0" b="0"/>
                <wp:wrapNone/>
                <wp:docPr id="15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1701165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c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9;o:allowoverlap:true;o:allowincell:true;mso-position-horizontal-relative:page;margin-left:184.80pt;mso-position-horizontal:absolute;mso-position-vertical-relative:page;margin-top:166.75pt;mso-position-vertical:absolute;width:133.95pt;height:13.4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ac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8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2115185</wp:posOffset>
                </wp:positionV>
                <wp:extent cx="1177290" cy="172720"/>
                <wp:effectExtent l="0" t="0" r="0" b="0"/>
                <wp:wrapNone/>
                <wp:docPr id="16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1177290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c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9" o:spid="_x0000_s9" o:spt="202" type="#_x0000_t202" style="position:absolute;z-index:8;o:allowoverlap:true;o:allowincell:true;mso-position-horizontal-relative:page;margin-left:70.80pt;mso-position-horizontal:absolute;mso-position-vertical-relative:page;margin-top:166.55pt;mso-position-vertical:absolute;width:92.70pt;height:13.6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ac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0" behindDoc="0" locked="0" layoutInCell="1" allowOverlap="1">
                <wp:simplePos x="0" y="0"/>
                <wp:positionH relativeFrom="page">
                  <wp:posOffset>1224915</wp:posOffset>
                </wp:positionH>
                <wp:positionV relativeFrom="page">
                  <wp:posOffset>2406015</wp:posOffset>
                </wp:positionV>
                <wp:extent cx="532765" cy="170180"/>
                <wp:effectExtent l="0" t="0" r="0" b="0"/>
                <wp:wrapNone/>
                <wp:docPr id="1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532765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c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0" o:spid="_x0000_s10" o:spt="202" type="#_x0000_t202" style="position:absolute;z-index:10;o:allowoverlap:true;o:allowincell:true;mso-position-horizontal-relative:page;margin-left:96.45pt;mso-position-horizontal:absolute;mso-position-vertical-relative:page;margin-top:189.45pt;mso-position-vertical:absolute;width:41.95pt;height:13.4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ac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1" behindDoc="0" locked="0" layoutInCell="1" allowOverlap="1">
                <wp:simplePos x="0" y="0"/>
                <wp:positionH relativeFrom="page">
                  <wp:posOffset>2346960</wp:posOffset>
                </wp:positionH>
                <wp:positionV relativeFrom="page">
                  <wp:posOffset>2406015</wp:posOffset>
                </wp:positionV>
                <wp:extent cx="741045" cy="170180"/>
                <wp:effectExtent l="0" t="0" r="0" b="0"/>
                <wp:wrapNone/>
                <wp:docPr id="18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741045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c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1" o:spid="_x0000_s11" o:spt="202" type="#_x0000_t202" style="position:absolute;z-index:11;o:allowoverlap:true;o:allowincell:true;mso-position-horizontal-relative:page;margin-left:184.80pt;mso-position-horizontal:absolute;mso-position-vertical-relative:page;margin-top:189.45pt;mso-position-vertical:absolute;width:58.35pt;height:13.4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ac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after="200" w:line="360" w:lineRule="exact"/>
        <w:rPr>
          <w:rFonts w:ascii="Liberation Sans" w:hAnsi="Liberation Sans" w:eastAsia="Liberation Sans" w:cs="Times New Roman"/>
          <w:sz w:val="22"/>
        </w:rPr>
      </w:pPr>
    </w:p>
    <w:p>
      <w:pPr>
        <w:spacing w:after="200" w:line="360" w:lineRule="exact"/>
        <w:ind w:firstLine="720"/>
        <w:jc w:val="center"/>
        <w:rPr>
          <w:rFonts w:ascii="Liberation Sans" w:hAnsi="Liberation Sans" w:eastAsia="Liberation Sans" w:cs="Times New Roman"/>
          <w:sz w:val="22"/>
        </w:rPr>
      </w:pPr>
    </w:p>
    <w:p>
      <w:pPr>
        <w:spacing w:after="200" w:line="360" w:lineRule="exact"/>
        <w:ind w:firstLine="720"/>
        <w:jc w:val="center"/>
        <w:rPr>
          <w:rFonts w:ascii="Liberation Sans" w:hAnsi="Liberation Sans" w:eastAsia="Liberation Sans" w:cs="Times New Roman"/>
          <w:sz w:val="22"/>
        </w:rPr>
      </w:pPr>
    </w:p>
    <w:p>
      <w:pPr>
        <w:spacing w:after="200" w:line="360" w:lineRule="exact"/>
        <w:ind w:firstLine="720"/>
        <w:jc w:val="center"/>
        <w:rPr>
          <w:rFonts w:ascii="Liberation Sans" w:hAnsi="Liberation Sans" w:eastAsia="Liberation Sans" w:cs="Times New Roman"/>
          <w:sz w:val="22"/>
        </w:rPr>
      </w:pPr>
    </w:p>
    <w:p>
      <w:pPr>
        <w:spacing w:after="240" w:line="360" w:lineRule="exact"/>
        <w:ind w:firstLine="720"/>
        <w:jc w:val="center"/>
        <w:rPr>
          <w:rFonts w:eastAsia="Liberation Sans" w:cs="Times New Roman"/>
          <w:sz w:val="22"/>
        </w:rPr>
      </w:pPr>
      <w:r>
        <w:rPr>
          <w:rFonts w:eastAsia="Times New Roman" w:cs="Times New Roman"/>
          <w:sz w:val="28"/>
          <w:szCs w:val="28"/>
        </w:rPr>
        <w:t xml:space="preserve">Уважаемый Глеб Евгеньевич!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360" w:lineRule="exact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В целях контроля направления заявок в службу технической поддержки Единой информационной системы здравоохранения Пермского края направляю перечень уполномоченных лиц от &lt;Полное название организации&gt;.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360" w:lineRule="exact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Уполномоченные сотрудники, включённые в перечень, несут полную персональную ответственность за достоверность и полноту представленных данных в заявках, направленных в службу технической поддержки Единой информационной системы здравоохранения Пермского края, а также обоснованность действий, необходимых для внесения изменений в ЕИСЗ ПК. 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240" w:after="0" w:line="239" w:lineRule="exact"/>
        <w:ind w:left="2400" w:hanging="1691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Liberation Sans" w:cs="Times New Roman"/>
          <w:color w:val="000000"/>
          <w:sz w:val="28"/>
          <w:szCs w:val="28"/>
        </w:rPr>
        <w:t xml:space="preserve">Приложение:</w:t>
      </w:r>
      <w:r>
        <w:rPr>
          <w:rFonts w:eastAsia="Times New Roman" w:cs="Times New Roman"/>
          <w:sz w:val="28"/>
          <w:szCs w:val="20"/>
        </w:rPr>
        <w:t xml:space="preserve"> Перечень уполномоченных лиц на 1 л. в 1 экз.</w:t>
      </w:r>
    </w:p>
    <w:p>
      <w:pPr>
        <w:tabs>
          <w:tab w:val="left" w:pos="8040"/>
        </w:tabs>
        <w:spacing w:before="720" w:after="200" w:line="360" w:lineRule="exact"/>
        <w:jc w:val="both"/>
        <w:rPr>
          <w:rFonts w:eastAsia="Liberation Sans" w:cs="Times New Roman"/>
          <w:szCs w:val="24"/>
        </w:rPr>
      </w:pPr>
      <w:r>
        <w:rPr>
          <w:rFonts w:eastAsia="Times New Roman" w:cs="Times New Roman"/>
          <w:sz w:val="28"/>
          <w:szCs w:val="28"/>
        </w:rPr>
        <w:t xml:space="preserve">Руководитель </w:t>
      </w:r>
      <w:r>
        <w:rPr>
          <w:rFonts w:eastAsia="Times New Roman" w:cs="Times New Roman"/>
          <w:sz w:val="28"/>
          <w:szCs w:val="28"/>
        </w:rPr>
        <w:tab/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1" behindDoc="1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9956800</wp:posOffset>
                </wp:positionV>
                <wp:extent cx="1055370" cy="443865"/>
                <wp:effectExtent l="0" t="0" r="0" b="0"/>
                <wp:wrapNone/>
                <wp:docPr id="1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1055370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Бизяев Д.Л</w:t>
                            </w:r>
                            <w:r>
                              <w:br/>
                              <w:t xml:space="preserve">89026454953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2" o:spid="_x0000_s12" o:spt="202" type="#_x0000_t202" style="position:absolute;z-index:-1;o:allowoverlap:true;o:allowincell:true;mso-position-horizontal-relative:text;margin-left:41.20pt;mso-position-horizontal:absolute;mso-position-vertical-relative:text;margin-top:784.00pt;mso-position-vertical:absolute;width:83.10pt;height:34.95pt;mso-wrap-distance-left:9.00pt;mso-wrap-distance-top:3.60pt;mso-wrap-distance-right:9.00pt;mso-wrap-distance-bottom:3.60pt;visibility:visible;" fillcolor="#FFFFFF" stroked="f">
                <v:textbox inset="0,0,0,0">
                  <w:txbxContent>
                    <w:p>
                      <w:r>
                        <w:t xml:space="preserve">Бизяев Д.Л</w:t>
                      </w:r>
                      <w:r>
                        <w:br/>
                        <w:t xml:space="preserve">89026454953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sz w:val="28"/>
          <w:szCs w:val="28"/>
        </w:rPr>
        <w:t xml:space="preserve">подпись</w:t>
      </w:r>
    </w:p>
    <w:p>
      <w:pPr>
        <w:spacing w:after="200" w:line="360" w:lineRule="exact"/>
        <w:rPr>
          <w:rFonts w:ascii="Liberation Sans" w:hAnsi="Liberation Sans" w:eastAsia="Liberation Sans" w:cs="Times New Roman"/>
          <w:sz w:val="2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13" behindDoc="0" locked="0" layoutInCell="1" allowOverlap="1">
                <wp:simplePos x="0" y="0"/>
                <wp:positionH relativeFrom="column">
                  <wp:posOffset>-391794</wp:posOffset>
                </wp:positionH>
                <wp:positionV relativeFrom="page">
                  <wp:posOffset>10073640</wp:posOffset>
                </wp:positionV>
                <wp:extent cx="2318385" cy="384175"/>
                <wp:effectExtent l="0" t="0" r="0" b="0"/>
                <wp:wrapNone/>
                <wp:docPr id="20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2318385" cy="38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cs="Times New Roman"/>
                                <w:sz w:val="20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sz w:val="20"/>
                              </w:rPr>
                              <w:t xml:space="preserve">Исполнитель ФИО</w:t>
                            </w:r>
                            <w:r>
                              <w:rPr>
                                <w:rFonts w:eastAsia="Times New Roman" w:cs="Times New Roman"/>
                                <w:sz w:val="20"/>
                              </w:rPr>
                              <w:br/>
                              <w:t xml:space="preserve">телефон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>
            <w:pict>
              <v:shape id="shape 13" o:spid="_x0000_s13" o:spt="202" type="#_x0000_t202" style="position:absolute;z-index:13;o:allowoverlap:true;o:allowincell:true;mso-position-horizontal-relative:text;margin-left:-30.85pt;mso-position-horizontal:absolute;mso-position-vertical-relative:page;margin-top:793.20pt;mso-position-vertical:absolute;width:182.55pt;height:30.25pt;mso-wrap-distance-left:9.00pt;mso-wrap-distance-top:3.60pt;mso-wrap-distance-right:9.00pt;mso-wrap-distance-bottom:3.60pt;visibility:visible;" fillcolor="#FFFFFF" stroked="f">
                <v:textbox inset="0,0,0,0">
                  <w:txbxContent>
                    <w:p>
                      <w:pPr>
                        <w:rPr>
                          <w:rFonts w:cs="Times New Roman"/>
                          <w:sz w:val="20"/>
                        </w:rPr>
                      </w:pPr>
                      <w:r>
                        <w:rPr>
                          <w:rFonts w:eastAsia="Times New Roman" w:cs="Times New Roman"/>
                          <w:sz w:val="20"/>
                        </w:rPr>
                        <w:t xml:space="preserve">Исполнитель ФИО</w:t>
                      </w:r>
                      <w:r>
                        <w:rPr>
                          <w:rFonts w:eastAsia="Times New Roman" w:cs="Times New Roman"/>
                          <w:sz w:val="20"/>
                        </w:rPr>
                        <w:br/>
                        <w:t xml:space="preserve">телефон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iberation Sans" w:hAnsi="Liberation Sans" w:eastAsia="Liberation Sans" w:cs="Times New Roman"/>
          <w:sz w:val="22"/>
        </w:rPr>
        <w:br w:type="page" w:clear="all"/>
      </w:r>
    </w:p>
    <w:p>
      <w:pPr>
        <w:tabs>
          <w:tab w:val="left" w:pos="7680"/>
          <w:tab w:val="left" w:pos="7680"/>
        </w:tabs>
        <w:spacing w:after="200" w:line="360" w:lineRule="exact"/>
        <w:ind w:left="6840"/>
        <w:rPr>
          <w:rFonts w:eastAsia="Liberation Sans" w:cs="Times New Roman"/>
          <w:sz w:val="28"/>
          <w:szCs w:val="28"/>
        </w:rPr>
      </w:pPr>
      <w:r>
        <w:rPr>
          <w:rFonts w:eastAsia="Liberation Sans" w:cs="Times New Roman"/>
          <w:sz w:val="28"/>
          <w:szCs w:val="28"/>
        </w:rPr>
        <w:t xml:space="preserve">Приложение к письму </w:t>
      </w:r>
    </w:p>
    <w:p>
      <w:pPr>
        <w:tabs>
          <w:tab w:val="left" w:pos="7680"/>
          <w:tab w:val="left" w:pos="7680"/>
        </w:tabs>
        <w:spacing w:before="240" w:after="200" w:line="360" w:lineRule="exact"/>
        <w:jc w:val="center"/>
        <w:rPr>
          <w:rFonts w:eastAsia="Liberation Sans" w:cs="Times New Roman"/>
          <w:sz w:val="28"/>
          <w:szCs w:val="28"/>
          <w:vertAlign w:val="superscript"/>
        </w:rPr>
      </w:pPr>
      <w:r>
        <w:rPr>
          <w:rFonts w:eastAsia="Times New Roman" w:cs="Times New Roman"/>
          <w:sz w:val="28"/>
          <w:szCs w:val="28"/>
        </w:rPr>
        <w:t xml:space="preserve">Перечень уполномоченных лиц</w:t>
      </w:r>
      <w:r>
        <w:rPr>
          <w:rFonts w:eastAsia="Times New Roman" w:cs="Times New Roman"/>
          <w:sz w:val="28"/>
          <w:szCs w:val="28"/>
        </w:rPr>
        <w:br/>
        <w:t xml:space="preserve">________________________________________________</w:t>
      </w:r>
      <w:r>
        <w:rPr>
          <w:rFonts w:eastAsia="Times New Roman" w:cs="Times New Roman"/>
          <w:sz w:val="28"/>
          <w:szCs w:val="28"/>
        </w:rPr>
        <w:br/>
      </w:r>
      <w:r>
        <w:rPr>
          <w:rFonts w:eastAsia="Times New Roman" w:cs="Times New Roman"/>
          <w:sz w:val="28"/>
          <w:szCs w:val="28"/>
          <w:vertAlign w:val="superscript"/>
        </w:rPr>
        <w:t xml:space="preserve">полное название организации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1906"/>
        <w:gridCol w:w="2257"/>
        <w:gridCol w:w="2562"/>
        <w:gridCol w:w="2394"/>
      </w:tblGrid>
      <w:tr>
        <w:tc>
          <w:tcPr>
            <w:tcW w:w="361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</w:rPr>
              <w:t xml:space="preserve">№</w:t>
            </w:r>
          </w:p>
        </w:tc>
        <w:tc>
          <w:tcPr>
            <w:tcW w:w="1906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4"/>
              </w:rPr>
              <w:t xml:space="preserve">ФИО (полностью)</w:t>
            </w:r>
          </w:p>
        </w:tc>
        <w:tc>
          <w:tcPr>
            <w:tcW w:w="2257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4"/>
              </w:rPr>
              <w:t xml:space="preserve">Должность, подразделение</w:t>
            </w:r>
          </w:p>
        </w:tc>
        <w:tc>
          <w:tcPr>
            <w:tcW w:w="4956" w:type="dxa"/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</w:rPr>
              <w:t xml:space="preserve">Контактные данные</w:t>
            </w:r>
          </w:p>
        </w:tc>
      </w:tr>
      <w:tr>
        <w:trPr>
          <w:trHeight w:val="300"/>
        </w:trPr>
        <w:tc>
          <w:tcPr>
            <w:tcW w:w="361" w:type="dxa"/>
            <w:vMerge w:val="continue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1906" w:type="dxa"/>
            <w:vMerge w:val="continue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257" w:type="dxa"/>
            <w:vMerge w:val="continue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562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</w:rPr>
              <w:t xml:space="preserve">Электронная почта*</w:t>
            </w:r>
          </w:p>
        </w:tc>
        <w:tc>
          <w:tcPr>
            <w:tcW w:w="2394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</w:rPr>
              <w:t xml:space="preserve">Телефон</w:t>
            </w:r>
          </w:p>
        </w:tc>
      </w:tr>
      <w:tr>
        <w:trPr>
          <w:trHeight w:val="378"/>
        </w:trPr>
        <w:tc>
          <w:tcPr>
            <w:tcW w:w="361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>
            <w:pPr>
              <w:spacing w:after="200" w:line="276" w:lineRule="auto"/>
              <w:jc w:val="right"/>
              <w:rPr>
                <w:rFonts w:ascii="Liberation Sans" w:hAnsi="Liberation Sans" w:eastAsia="Liberation Sans"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1</w:t>
            </w:r>
          </w:p>
        </w:tc>
        <w:tc>
          <w:tcPr>
            <w:tcW w:w="1906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257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562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394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</w:tr>
      <w:tr>
        <w:trPr>
          <w:trHeight w:val="491"/>
        </w:trPr>
        <w:tc>
          <w:tcPr>
            <w:tcW w:w="361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>
            <w:pPr>
              <w:spacing w:after="200" w:line="276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2</w:t>
            </w:r>
          </w:p>
        </w:tc>
        <w:tc>
          <w:tcPr>
            <w:tcW w:w="1906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257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562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394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</w:tr>
      <w:tr>
        <w:trPr>
          <w:trHeight w:val="491"/>
        </w:trPr>
        <w:tc>
          <w:tcPr>
            <w:tcW w:w="361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>
            <w:pPr>
              <w:spacing w:after="200" w:line="276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3</w:t>
            </w:r>
          </w:p>
        </w:tc>
        <w:tc>
          <w:tcPr>
            <w:tcW w:w="1906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257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562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  <w:tc>
          <w:tcPr>
            <w:tcW w:w="2394" w:type="dxa"/>
            <w:vMerge w:val="restart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ascii="Liberation Sans" w:hAnsi="Liberation Sans" w:eastAsia="Liberation Sans" w:cs="Times New Roman"/>
                <w:sz w:val="22"/>
              </w:rPr>
            </w:pPr>
          </w:p>
        </w:tc>
      </w:tr>
    </w:tbl>
    <w:p>
      <w:pPr>
        <w:tabs>
          <w:tab w:val="left" w:pos="7680"/>
          <w:tab w:val="left" w:pos="7680"/>
        </w:tabs>
        <w:spacing w:after="0" w:line="360" w:lineRule="exact"/>
        <w:rPr>
          <w:rFonts w:eastAsia="Liberation Sans" w:cs="Times New Roman"/>
          <w:bCs/>
          <w:i/>
          <w:sz w:val="28"/>
          <w:szCs w:val="28"/>
        </w:rPr>
      </w:pPr>
    </w:p>
    <w:p>
      <w:pPr>
        <w:tabs>
          <w:tab w:val="left" w:pos="7680"/>
          <w:tab w:val="left" w:pos="7680"/>
        </w:tabs>
        <w:spacing w:after="0" w:line="360" w:lineRule="exact"/>
        <w:rPr>
          <w:rFonts w:eastAsia="Liberation Sans" w:cs="Times New Roman"/>
          <w:i/>
          <w:iCs/>
          <w:sz w:val="28"/>
          <w:szCs w:val="28"/>
        </w:rPr>
      </w:pPr>
      <w:r>
        <w:rPr>
          <w:rFonts w:eastAsia="Liberation Sans" w:cs="Times New Roman"/>
          <w:i/>
          <w:iCs/>
          <w:sz w:val="28"/>
          <w:szCs w:val="28"/>
        </w:rPr>
        <w:t xml:space="preserve">Примечание:</w:t>
      </w:r>
    </w:p>
    <w:p>
      <w:pPr>
        <w:tabs>
          <w:tab w:val="left" w:pos="7680"/>
        </w:tabs>
        <w:spacing w:after="0" w:line="360" w:lineRule="exact"/>
        <w:ind w:firstLine="720"/>
        <w:jc w:val="both"/>
        <w:rPr>
          <w:rFonts w:eastAsia="Liberation Sans" w:cs="Times New Roman"/>
          <w:sz w:val="28"/>
          <w:szCs w:val="28"/>
        </w:rPr>
      </w:pPr>
      <w:r>
        <w:rPr>
          <w:rFonts w:eastAsia="Liberation Sans" w:cs="Times New Roman"/>
          <w:sz w:val="28"/>
          <w:szCs w:val="28"/>
        </w:rPr>
        <w:t xml:space="preserve">*Для медицинских организаций, подведомственных Министерству здравоохранения Пермского края, допускается электронная почта только из Единого почтового домена (*****@med.permkrai.ru).</w:t>
      </w:r>
    </w:p>
    <w:p>
      <w:pPr>
        <w:tabs>
          <w:tab w:val="left" w:pos="7680"/>
        </w:tabs>
        <w:spacing w:after="0" w:line="360" w:lineRule="exact"/>
        <w:ind w:firstLine="720"/>
        <w:jc w:val="both"/>
        <w:rPr>
          <w:rFonts w:eastAsia="Liberation Sans" w:cs="Times New Roman"/>
          <w:sz w:val="28"/>
          <w:szCs w:val="28"/>
        </w:rPr>
      </w:pPr>
      <w:r>
        <w:rPr>
          <w:rFonts w:eastAsia="Liberation Sans" w:cs="Times New Roman"/>
          <w:sz w:val="28"/>
          <w:szCs w:val="28"/>
        </w:rPr>
        <w:t xml:space="preserve">Для иных медицинских организаций допускает электронная почта, принадлежащих официальному домену организации (например домен ***@medic-group.ru) или российским почтовым сервисам (например: @yandex.ru, @bk.ru, @list.ru, @rambler.ru, @mail.ru). </w:t>
      </w:r>
    </w:p>
    <w:p>
      <w:pPr>
        <w:tabs>
          <w:tab w:val="left" w:pos="7680"/>
        </w:tabs>
        <w:spacing w:after="0" w:line="360" w:lineRule="exact"/>
        <w:ind w:firstLine="720"/>
        <w:jc w:val="both"/>
        <w:rPr>
          <w:rFonts w:eastAsia="Liberation Sans" w:cs="Times New Roman"/>
          <w:sz w:val="28"/>
          <w:szCs w:val="28"/>
        </w:rPr>
      </w:pPr>
      <w:r>
        <w:rPr>
          <w:rFonts w:eastAsia="Liberation Sans" w:cs="Times New Roman"/>
          <w:sz w:val="28"/>
          <w:szCs w:val="28"/>
        </w:rPr>
        <w:t xml:space="preserve">Не допускается использовать электронные адреса, принадлежащие иностранным почтовым сервисам. </w:t>
      </w:r>
    </w:p>
    <w:p>
      <w:pPr>
        <w:spacing w:after="0" w:line="360" w:lineRule="exact"/>
        <w:ind w:left="720"/>
        <w:jc w:val="both"/>
        <w:rPr>
          <w:rFonts w:eastAsia="Liberation Sans" w:cs="Times New Roman"/>
          <w:color w:val="000000"/>
          <w:sz w:val="28"/>
          <w:szCs w:val="28"/>
        </w:rPr>
      </w:pPr>
    </w:p>
    <w:p>
      <w:pPr>
        <w:pStyle w:val="-0"/>
      </w:pPr>
    </w:p>
    <w:sectPr>
      <w:headerReference w:type="default" r:id="rId11"/>
      <w:pgSz w:w="11906" w:h="16838"/>
      <w:pgMar w:top="1134" w:right="851" w:bottom="1134" w:left="1701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</w:p>
  </w:endnote>
  <w:endnote w:type="continuationSeparator" w:id="0">
    <w:p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Liberation Sans">
    <w:panose1 w:val="020B0604020202020204"/>
  </w:font>
  <w:font w:name="Segoe UI">
    <w:panose1 w:val="020B0502040204020203"/>
  </w:font>
  <w:font w:name="Courier New">
    <w:panose1 w:val="02070309020205020404"/>
  </w:font>
  <w:font w:name="Mangal">
    <w:panose1 w:val="02040503050406030204"/>
  </w:font>
  <w:font w:name="Yu Gothic Light">
    <w:panose1 w:val="020B0300000000000000"/>
  </w:font>
  <w:font w:name="Calibri Light">
    <w:panose1 w:val="020F0302020204030204"/>
  </w:font>
  <w:font w:name="Symbol">
    <w:panose1 w:val="05050102010706020507"/>
  </w:font>
  <w:font w:name="Times New Roman Полужирный">
    <w:panose1 w:val="02020603050405020304"/>
  </w:font>
  <w:font w:name="Yu Mincho">
    <w:panose1 w:val="02000603000000000000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rPr>
        <w:rFonts w:cs="Times New Roman"/>
      </w:rPr>
    </w:pPr>
    <w:r>
      <w:rPr>
        <w:rFonts w:eastAsia="Arial" w:cs="Times New Roman"/>
        <w:sz w:val="22"/>
      </w:rPr>
      <w:t xml:space="preserve">*Версия для пользователей ЕИСЗ ПК.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d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</w:p>
  </w:footnote>
  <w:footnote w:type="continuationSeparator" w:id="0">
    <w:p>
      <w:pPr>
        <w:spacing w:after="0"/>
      </w:pPr>
      <w:r>
        <w:continuationSeparator/>
      </w:r>
    </w:p>
  </w:footnote>
  <w:footnote w:id="1">
    <w:p>
      <w:pPr>
        <w:pStyle w:val="af1"/>
        <w:rPr>
          <w:lang w:val="ru-RU"/>
        </w:rPr>
      </w:pPr>
      <w:r>
        <w:rPr>
          <w:rStyle w:val="af2"/>
        </w:rPr>
        <w:footnoteRef/>
      </w:r>
      <w:r>
        <w:rPr>
          <w:lang w:val="ru-RU"/>
        </w:rPr>
        <w:t xml:space="preserve"> В случае наличия зарегистрированного инцидента с приоритетом «Критический» все поступающие инциденты с той же корневой причиной регистрируются с приоритетом «Низкий» (при этом инициатор данной заявки информируется о наличии инцидента с приоритетом «Критический» с той же корневой причиной).</w:t>
      </w:r>
    </w:p>
  </w:footnote>
  <w:footnote w:id="2">
    <w:p>
      <w:pPr>
        <w:pStyle w:val="af1"/>
        <w:rPr>
          <w:lang w:val="ru-RU"/>
        </w:rPr>
      </w:pPr>
      <w:r>
        <w:rPr>
          <w:rStyle w:val="af2"/>
        </w:rPr>
        <w:footnoteRef/>
      </w:r>
      <w:r>
        <w:rPr>
          <w:lang w:val="ru-RU"/>
        </w:rPr>
        <w:t xml:space="preserve"> Перечень ключевой функциональности Системы приводится в «Едином регламенте оказания услуг»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c"/>
      <w:tabs>
        <w:tab w:val="clear" w:pos="4677"/>
        <w:tab w:val="center" w:pos="4674"/>
      </w:tabs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45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c"/>
      <w:tabs>
        <w:tab w:val="clear" w:pos="4677"/>
        <w:tab w:val="center" w:pos="4674"/>
      </w:tabs>
      <w:jc w:val="cent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>
      <w:t xml:space="preserve">60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lvlText w:val="%1"/>
      <w:lvlJc w:val="left"/>
      <w:pPr>
        <w:ind w:left="2843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">
    <w:multiLevelType w:val="hybridMultilevel"/>
    <w:lvl w:ilvl="0" w:tplc="5BA09FF8">
      <w:start w:val="1"/>
      <w:numFmt w:val="decimal"/>
      <w:lvlText w:val="%1."/>
      <w:lvlJc w:val="left"/>
      <w:pPr>
        <w:ind w:left="1570" w:hanging="360"/>
      </w:pPr>
    </w:lvl>
    <w:lvl w:ilvl="1" w:tplc="83561600">
      <w:start w:val="1"/>
      <w:numFmt w:val="lowerLetter"/>
      <w:lvlText w:val="%2."/>
      <w:lvlJc w:val="left"/>
      <w:pPr>
        <w:ind w:left="2290" w:hanging="360"/>
      </w:pPr>
    </w:lvl>
    <w:lvl w:ilvl="2" w:tplc="45903702">
      <w:start w:val="1"/>
      <w:numFmt w:val="lowerRoman"/>
      <w:lvlText w:val="%3."/>
      <w:lvlJc w:val="right"/>
      <w:pPr>
        <w:ind w:left="3010" w:hanging="180"/>
      </w:pPr>
    </w:lvl>
    <w:lvl w:ilvl="3" w:tplc="B3BE12A2">
      <w:start w:val="1"/>
      <w:numFmt w:val="decimal"/>
      <w:lvlText w:val="%4."/>
      <w:lvlJc w:val="left"/>
      <w:pPr>
        <w:ind w:left="3730" w:hanging="360"/>
      </w:pPr>
    </w:lvl>
    <w:lvl w:ilvl="4" w:tplc="4EEC1880">
      <w:start w:val="1"/>
      <w:numFmt w:val="lowerLetter"/>
      <w:lvlText w:val="%5."/>
      <w:lvlJc w:val="left"/>
      <w:pPr>
        <w:ind w:left="4450" w:hanging="360"/>
      </w:pPr>
    </w:lvl>
    <w:lvl w:ilvl="5" w:tplc="650A8C30">
      <w:start w:val="1"/>
      <w:numFmt w:val="lowerRoman"/>
      <w:lvlText w:val="%6."/>
      <w:lvlJc w:val="right"/>
      <w:pPr>
        <w:ind w:left="5170" w:hanging="180"/>
      </w:pPr>
    </w:lvl>
    <w:lvl w:ilvl="6" w:tplc="AA761A1E">
      <w:start w:val="1"/>
      <w:numFmt w:val="decimal"/>
      <w:lvlText w:val="%7."/>
      <w:lvlJc w:val="left"/>
      <w:pPr>
        <w:ind w:left="5890" w:hanging="360"/>
      </w:pPr>
    </w:lvl>
    <w:lvl w:ilvl="7" w:tplc="4E2423FE">
      <w:start w:val="1"/>
      <w:numFmt w:val="lowerLetter"/>
      <w:lvlText w:val="%8."/>
      <w:lvlJc w:val="left"/>
      <w:pPr>
        <w:ind w:left="6610" w:hanging="360"/>
      </w:pPr>
    </w:lvl>
    <w:lvl w:ilvl="8" w:tplc="35A09F2C">
      <w:start w:val="1"/>
      <w:numFmt w:val="lowerRoman"/>
      <w:lvlText w:val="%9."/>
      <w:lvlJc w:val="right"/>
      <w:pPr>
        <w:ind w:left="7330" w:hanging="180"/>
      </w:pPr>
    </w:lvl>
  </w:abstractNum>
  <w:abstractNum w:abstractNumId="2">
    <w:multiLevelType w:val="hybridMultilevel"/>
    <w:lvl w:ilvl="0">
      <w:start w:val="1"/>
      <w:numFmt w:val="decimal"/>
      <w:pStyle w:val="--"/>
      <w:lvlText w:val="%1)"/>
      <w:lvlJc w:val="left"/>
      <w:pPr>
        <w:ind w:left="1208" w:hanging="357"/>
      </w:pPr>
      <w:rPr>
        <w:color w:val="000000"/>
      </w:rPr>
    </w:lvl>
    <w:lvl w:ilvl="1">
      <w:start w:val="1"/>
      <w:numFmt w:val="bullet"/>
      <w:lvlText w:val=""/>
      <w:lvlJc w:val="left"/>
      <w:pPr>
        <w:ind w:left="1928" w:hanging="357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ind w:left="2517" w:hanging="357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3368" w:hanging="357"/>
      </w:pPr>
    </w:lvl>
    <w:lvl w:ilvl="4">
      <w:start w:val="1"/>
      <w:numFmt w:val="decimal"/>
      <w:lvlText w:val="%1.%2.%3.%4.%5."/>
      <w:lvlJc w:val="left"/>
      <w:pPr>
        <w:ind w:left="4088" w:hanging="357"/>
      </w:pPr>
    </w:lvl>
    <w:lvl w:ilvl="5">
      <w:start w:val="1"/>
      <w:numFmt w:val="decimal"/>
      <w:lvlText w:val="%1.%2.%3.%4.%5.%6."/>
      <w:lvlJc w:val="left"/>
      <w:pPr>
        <w:ind w:left="4808" w:hanging="357"/>
      </w:pPr>
    </w:lvl>
    <w:lvl w:ilvl="6">
      <w:start w:val="1"/>
      <w:numFmt w:val="decimal"/>
      <w:lvlText w:val="%1.%2.%3.%4.%5.%6.%7."/>
      <w:lvlJc w:val="left"/>
      <w:pPr>
        <w:ind w:left="5528" w:hanging="357"/>
      </w:pPr>
    </w:lvl>
    <w:lvl w:ilvl="7">
      <w:start w:val="1"/>
      <w:numFmt w:val="decimal"/>
      <w:lvlText w:val="%1.%2.%3.%4.%5.%6.%7.%8."/>
      <w:lvlJc w:val="left"/>
      <w:pPr>
        <w:ind w:left="6248" w:hanging="357"/>
      </w:pPr>
    </w:lvl>
    <w:lvl w:ilvl="8">
      <w:start w:val="1"/>
      <w:numFmt w:val="decimal"/>
      <w:lvlText w:val="%1.%2.%3.%4.%5.%6.%7.%8.%9."/>
      <w:lvlJc w:val="left"/>
      <w:pPr>
        <w:ind w:left="6968" w:hanging="357"/>
      </w:pPr>
    </w:lvl>
  </w:abstractNum>
  <w:abstractNum w:abstractNumId="3">
    <w:multiLevelType w:val="hybridMultilevel"/>
    <w:lvl w:ilvl="0">
      <w:start w:val="1"/>
      <w:numFmt w:val="decimal"/>
      <w:pStyle w:val="-1"/>
      <w:lvlText w:val="%1"/>
      <w:lvlJc w:val="left"/>
      <w:pPr>
        <w:ind w:left="2843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>
    <w:multiLevelType w:val="hybridMultilevel"/>
    <w:lvl w:ilvl="0" w:tplc="BCD273D0">
      <w:start w:val="1"/>
      <w:numFmt w:val="bullet"/>
      <w:pStyle w:val="2"/>
      <w:lvlText w:val="­"/>
      <w:lvlJc w:val="left"/>
      <w:pPr>
        <w:ind w:left="720" w:hanging="360"/>
      </w:pPr>
      <w:rPr>
        <w:rFonts w:ascii="Courier New" w:hAnsi="Courier New"/>
      </w:rPr>
    </w:lvl>
    <w:lvl w:ilvl="1" w:tplc="6276D6A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228C30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32473F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FDAD54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FF07F0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E94637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954E60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DB21CB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 w:tplc="363CE3B0">
      <w:start w:val="1"/>
      <w:numFmt w:val="decimal"/>
      <w:lvlText w:val="%1."/>
      <w:lvlJc w:val="left"/>
      <w:pPr>
        <w:ind w:left="1571" w:hanging="360"/>
      </w:pPr>
    </w:lvl>
    <w:lvl w:ilvl="1" w:tplc="5978C43A">
      <w:start w:val="1"/>
      <w:numFmt w:val="lowerLetter"/>
      <w:lvlText w:val="%2."/>
      <w:lvlJc w:val="left"/>
      <w:pPr>
        <w:ind w:left="2291" w:hanging="360"/>
      </w:pPr>
    </w:lvl>
    <w:lvl w:ilvl="2" w:tplc="89CCC1C4">
      <w:start w:val="1"/>
      <w:numFmt w:val="lowerRoman"/>
      <w:lvlText w:val="%3."/>
      <w:lvlJc w:val="right"/>
      <w:pPr>
        <w:ind w:left="3011" w:hanging="180"/>
      </w:pPr>
    </w:lvl>
    <w:lvl w:ilvl="3" w:tplc="22741DEE">
      <w:start w:val="1"/>
      <w:numFmt w:val="decimal"/>
      <w:lvlText w:val="%4."/>
      <w:lvlJc w:val="left"/>
      <w:pPr>
        <w:ind w:left="3731" w:hanging="360"/>
      </w:pPr>
    </w:lvl>
    <w:lvl w:ilvl="4" w:tplc="AA2CFAFC">
      <w:start w:val="1"/>
      <w:numFmt w:val="lowerLetter"/>
      <w:lvlText w:val="%5."/>
      <w:lvlJc w:val="left"/>
      <w:pPr>
        <w:ind w:left="4451" w:hanging="360"/>
      </w:pPr>
    </w:lvl>
    <w:lvl w:ilvl="5" w:tplc="59B6EDD6">
      <w:start w:val="1"/>
      <w:numFmt w:val="lowerRoman"/>
      <w:lvlText w:val="%6."/>
      <w:lvlJc w:val="right"/>
      <w:pPr>
        <w:ind w:left="5171" w:hanging="180"/>
      </w:pPr>
    </w:lvl>
    <w:lvl w:ilvl="6" w:tplc="EE6423C6">
      <w:start w:val="1"/>
      <w:numFmt w:val="decimal"/>
      <w:lvlText w:val="%7."/>
      <w:lvlJc w:val="left"/>
      <w:pPr>
        <w:ind w:left="5891" w:hanging="360"/>
      </w:pPr>
    </w:lvl>
    <w:lvl w:ilvl="7" w:tplc="B63A4D76">
      <w:start w:val="1"/>
      <w:numFmt w:val="lowerLetter"/>
      <w:lvlText w:val="%8."/>
      <w:lvlJc w:val="left"/>
      <w:pPr>
        <w:ind w:left="6611" w:hanging="360"/>
      </w:pPr>
    </w:lvl>
    <w:lvl w:ilvl="8" w:tplc="FFE21E04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multiLevelType w:val="hybridMultilevel"/>
    <w:lvl w:ilvl="0" w:tplc="E41812C6">
      <w:start w:val="1"/>
      <w:numFmt w:val="bullet"/>
      <w:pStyle w:val="a"/>
      <w:lvlText w:val="о"/>
      <w:lvlJc w:val="left"/>
    </w:lvl>
    <w:lvl w:ilvl="1" w:tplc="ACD4BB96">
      <w:start w:val="1"/>
      <w:numFmt w:val="decimal"/>
      <w:lvlText w:val="%2"/>
      <w:lvlJc w:val="left"/>
    </w:lvl>
    <w:lvl w:ilvl="2" w:tplc="0C546F1A">
      <w:start w:val="1"/>
      <w:numFmt w:val="decimal"/>
      <w:lvlText w:val="%3"/>
      <w:lvlJc w:val="left"/>
    </w:lvl>
    <w:lvl w:ilvl="3" w:tplc="C4CE8B80">
      <w:start w:val="1"/>
      <w:numFmt w:val="decimal"/>
      <w:lvlText w:val="%4"/>
      <w:lvlJc w:val="left"/>
    </w:lvl>
    <w:lvl w:ilvl="4" w:tplc="158E6280">
      <w:start w:val="1"/>
      <w:numFmt w:val="decimal"/>
      <w:lvlText w:val="%5"/>
      <w:lvlJc w:val="left"/>
    </w:lvl>
    <w:lvl w:ilvl="5" w:tplc="50F0768A">
      <w:start w:val="1"/>
      <w:numFmt w:val="decimal"/>
      <w:lvlText w:val="%6"/>
      <w:lvlJc w:val="left"/>
    </w:lvl>
    <w:lvl w:ilvl="6" w:tplc="0066A52E">
      <w:start w:val="1"/>
      <w:numFmt w:val="decimal"/>
      <w:lvlText w:val="%7"/>
      <w:lvlJc w:val="left"/>
    </w:lvl>
    <w:lvl w:ilvl="7" w:tplc="7FDC8758">
      <w:start w:val="1"/>
      <w:numFmt w:val="decimal"/>
      <w:lvlText w:val="%8"/>
      <w:lvlJc w:val="left"/>
    </w:lvl>
    <w:lvl w:ilvl="8" w:tplc="AB929BE4">
      <w:start w:val="1"/>
      <w:numFmt w:val="decimal"/>
      <w:lvlText w:val="%9"/>
      <w:lvlJc w:val="left"/>
    </w:lvl>
  </w:abstractNum>
  <w:abstractNum w:abstractNumId="7">
    <w:multiLevelType w:val="hybridMultilevel"/>
    <w:lvl w:ilvl="0" w:tplc="56E87DE4">
      <w:start w:val="1"/>
      <w:numFmt w:val="bullet"/>
      <w:pStyle w:val="--0"/>
      <w:lvlText w:val=""/>
      <w:lvlJc w:val="left"/>
      <w:pPr>
        <w:ind w:left="1416" w:hanging="360"/>
      </w:pPr>
      <w:rPr>
        <w:rFonts w:ascii="Symbol" w:hAnsi="Symbol"/>
      </w:rPr>
    </w:lvl>
    <w:lvl w:ilvl="1" w:tplc="14A0A456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/>
      </w:rPr>
    </w:lvl>
    <w:lvl w:ilvl="2" w:tplc="104203AA">
      <w:start w:val="1"/>
      <w:numFmt w:val="bullet"/>
      <w:lvlText w:val=""/>
      <w:lvlJc w:val="left"/>
      <w:pPr>
        <w:ind w:left="2856" w:hanging="360"/>
      </w:pPr>
      <w:rPr>
        <w:rFonts w:ascii="Wingdings" w:hAnsi="Wingdings"/>
      </w:rPr>
    </w:lvl>
    <w:lvl w:ilvl="3" w:tplc="108C3652">
      <w:start w:val="1"/>
      <w:numFmt w:val="bullet"/>
      <w:lvlText w:val=""/>
      <w:lvlJc w:val="left"/>
      <w:pPr>
        <w:ind w:left="3576" w:hanging="360"/>
      </w:pPr>
      <w:rPr>
        <w:rFonts w:ascii="Symbol" w:hAnsi="Symbol"/>
      </w:rPr>
    </w:lvl>
    <w:lvl w:ilvl="4" w:tplc="36CC9D64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/>
      </w:rPr>
    </w:lvl>
    <w:lvl w:ilvl="5" w:tplc="A7E8112E">
      <w:start w:val="1"/>
      <w:numFmt w:val="bullet"/>
      <w:lvlText w:val=""/>
      <w:lvlJc w:val="left"/>
      <w:pPr>
        <w:ind w:left="5016" w:hanging="360"/>
      </w:pPr>
      <w:rPr>
        <w:rFonts w:ascii="Wingdings" w:hAnsi="Wingdings"/>
      </w:rPr>
    </w:lvl>
    <w:lvl w:ilvl="6" w:tplc="726E6872">
      <w:start w:val="1"/>
      <w:numFmt w:val="bullet"/>
      <w:lvlText w:val=""/>
      <w:lvlJc w:val="left"/>
      <w:pPr>
        <w:ind w:left="5736" w:hanging="360"/>
      </w:pPr>
      <w:rPr>
        <w:rFonts w:ascii="Symbol" w:hAnsi="Symbol"/>
      </w:rPr>
    </w:lvl>
    <w:lvl w:ilvl="7" w:tplc="7A520160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/>
      </w:rPr>
    </w:lvl>
    <w:lvl w:ilvl="8" w:tplc="298C6100">
      <w:start w:val="1"/>
      <w:numFmt w:val="bullet"/>
      <w:lvlText w:val=""/>
      <w:lvlJc w:val="left"/>
      <w:pPr>
        <w:ind w:left="7176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 w:tplc="2EEA3DBC">
      <w:start w:val="1"/>
      <w:numFmt w:val="bullet"/>
      <w:lvlText w:val="­"/>
      <w:lvlJc w:val="left"/>
      <w:pPr>
        <w:ind w:left="1776" w:hanging="360"/>
      </w:pPr>
      <w:rPr>
        <w:rFonts w:ascii="Courier New" w:hAnsi="Courier New"/>
      </w:rPr>
    </w:lvl>
    <w:lvl w:ilvl="1" w:tplc="C7242648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 w:tplc="2362CF0C">
      <w:start w:val="1"/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 w:tplc="A1A6FC22">
      <w:start w:val="1"/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 w:tplc="6472DC3A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 w:tplc="15ACBCD4">
      <w:start w:val="1"/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 w:tplc="895AE0B4">
      <w:start w:val="1"/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 w:tplc="FA16DE2A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 w:tplc="6C8A49CA">
      <w:start w:val="1"/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491" w:hanging="357"/>
      </w:pPr>
      <w:rPr>
        <w:color w:val="000000"/>
      </w:rPr>
    </w:lvl>
    <w:lvl w:ilvl="1">
      <w:start w:val="1"/>
      <w:numFmt w:val="decimal"/>
      <w:lvlText w:val="%2"/>
      <w:lvlJc w:val="left"/>
      <w:pPr>
        <w:ind w:left="2211" w:hanging="357"/>
      </w:pPr>
      <w:rPr>
        <w:rFonts w:ascii="Symbol" w:hAnsi="Symbol"/>
      </w:rPr>
    </w:lvl>
    <w:lvl w:ilvl="2">
      <w:start w:val="1"/>
      <w:numFmt w:val="decimal"/>
      <w:lvlText w:val="%3"/>
      <w:lvlJc w:val="left"/>
      <w:pPr>
        <w:ind w:left="2800" w:hanging="357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3651" w:hanging="357"/>
      </w:pPr>
    </w:lvl>
    <w:lvl w:ilvl="4">
      <w:start w:val="1"/>
      <w:numFmt w:val="decimal"/>
      <w:lvlText w:val="%1.%2.%3.%4.%5."/>
      <w:lvlJc w:val="left"/>
      <w:pPr>
        <w:ind w:left="4371" w:hanging="357"/>
      </w:pPr>
    </w:lvl>
    <w:lvl w:ilvl="5">
      <w:start w:val="1"/>
      <w:numFmt w:val="decimal"/>
      <w:lvlText w:val="%1.%2.%3.%4.%5.%6."/>
      <w:lvlJc w:val="left"/>
      <w:pPr>
        <w:ind w:left="5091" w:hanging="357"/>
      </w:pPr>
    </w:lvl>
    <w:lvl w:ilvl="6">
      <w:start w:val="1"/>
      <w:numFmt w:val="decimal"/>
      <w:lvlText w:val="%1.%2.%3.%4.%5.%6.%7."/>
      <w:lvlJc w:val="left"/>
      <w:pPr>
        <w:ind w:left="5811" w:hanging="357"/>
      </w:pPr>
    </w:lvl>
    <w:lvl w:ilvl="7">
      <w:start w:val="1"/>
      <w:numFmt w:val="decimal"/>
      <w:lvlText w:val="%1.%2.%3.%4.%5.%6.%7.%8."/>
      <w:lvlJc w:val="left"/>
      <w:pPr>
        <w:ind w:left="6531" w:hanging="357"/>
      </w:pPr>
    </w:lvl>
    <w:lvl w:ilvl="8">
      <w:start w:val="1"/>
      <w:numFmt w:val="decimal"/>
      <w:lvlText w:val="%1.%2.%3.%4.%5.%6.%7.%8.%9."/>
      <w:lvlJc w:val="left"/>
      <w:pPr>
        <w:ind w:left="7251" w:hanging="357"/>
      </w:pPr>
    </w:lvl>
  </w:abstractNum>
  <w:abstractNum w:abstractNumId="11">
    <w:multiLevelType w:val="hybridMultilevel"/>
    <w:lvl w:ilvl="0" w:tplc="2EAE0E3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2B86F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7DCBB0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E6A41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C8AA3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F88FF2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058FA5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DC223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4A296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 w:tplc="DF50B20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sz w:val="20"/>
      </w:rPr>
    </w:lvl>
    <w:lvl w:ilvl="1" w:tplc="4AB0A3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B76BE0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A200DA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9F2CB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C761F0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1F078F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736E0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F869B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 w:tplc="5B727F1A">
      <w:start w:val="1"/>
      <w:numFmt w:val="bullet"/>
      <w:pStyle w:val="1"/>
      <w:lvlText w:val="-"/>
      <w:lvlJc w:val="left"/>
      <w:pPr>
        <w:ind w:left="141" w:firstLine="851"/>
      </w:pPr>
      <w:rPr>
        <w:rFonts w:ascii="Times New Roman" w:hAnsi="Times New Roman"/>
      </w:rPr>
    </w:lvl>
    <w:lvl w:ilvl="1" w:tplc="80747B86">
      <w:start w:val="1"/>
      <w:numFmt w:val="bullet"/>
      <w:lvlText w:val="-"/>
      <w:lvlJc w:val="left"/>
      <w:pPr>
        <w:ind w:left="0" w:firstLine="1701"/>
      </w:pPr>
      <w:rPr>
        <w:rFonts w:ascii="Arial" w:hAnsi="Arial"/>
        <w:b w:val="0"/>
        <w:i w:val="0"/>
      </w:rPr>
    </w:lvl>
    <w:lvl w:ilvl="2" w:tplc="20C0C51A">
      <w:start w:val="1"/>
      <w:numFmt w:val="bullet"/>
      <w:lvlText w:val="-"/>
      <w:lvlJc w:val="left"/>
      <w:pPr>
        <w:ind w:left="0" w:firstLine="2552"/>
      </w:pPr>
      <w:rPr>
        <w:rFonts w:ascii="Times New Roman" w:hAnsi="Times New Roman"/>
      </w:rPr>
    </w:lvl>
    <w:lvl w:ilvl="3" w:tplc="E98C47E8">
      <w:start w:val="1"/>
      <w:numFmt w:val="decimal"/>
      <w:suff w:val="space"/>
      <w:lvlText w:val="%4"/>
      <w:lvlJc w:val="left"/>
      <w:pPr>
        <w:ind w:left="1080" w:hanging="108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 w:tplc="F3A6B7FA">
      <w:start w:val="1"/>
      <w:numFmt w:val="decimal"/>
      <w:lvlText w:val="%5"/>
      <w:lvlJc w:val="left"/>
      <w:pPr>
        <w:ind w:left="1080" w:hanging="1080"/>
      </w:pPr>
      <w:rPr>
        <w:rFonts w:cs="Times New Roman"/>
      </w:rPr>
    </w:lvl>
    <w:lvl w:ilvl="5" w:tplc="73306E4A">
      <w:start w:val="1"/>
      <w:numFmt w:val="decimal"/>
      <w:lvlText w:val="%6"/>
      <w:lvlJc w:val="left"/>
      <w:pPr>
        <w:ind w:left="1440" w:hanging="1440"/>
      </w:pPr>
      <w:rPr>
        <w:rFonts w:cs="Times New Roman"/>
      </w:rPr>
    </w:lvl>
    <w:lvl w:ilvl="6" w:tplc="64BAAB6A">
      <w:start w:val="1"/>
      <w:numFmt w:val="decimal"/>
      <w:lvlText w:val="%7"/>
      <w:lvlJc w:val="left"/>
      <w:pPr>
        <w:ind w:left="1800" w:hanging="1800"/>
      </w:pPr>
      <w:rPr>
        <w:rFonts w:cs="Times New Roman"/>
      </w:rPr>
    </w:lvl>
    <w:lvl w:ilvl="7" w:tplc="75C209F4">
      <w:start w:val="1"/>
      <w:numFmt w:val="decimal"/>
      <w:suff w:val="space"/>
      <w:lvlText w:val="%8"/>
      <w:lvlJc w:val="left"/>
      <w:pPr>
        <w:ind w:left="1800" w:hanging="1800"/>
      </w:pPr>
      <w:rPr>
        <w:rFonts w:cs="Times New Roman"/>
      </w:rPr>
    </w:lvl>
    <w:lvl w:ilvl="8" w:tplc="4EA2FBBC">
      <w:start w:val="1"/>
      <w:numFmt w:val="decimal"/>
      <w:suff w:val="space"/>
      <w:lvlText w:val="%9"/>
      <w:lvlJc w:val="left"/>
      <w:pPr>
        <w:ind w:left="2160" w:hanging="216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bullet"/>
      <w:lvlText w:val=""/>
      <w:lvlJc w:val="left"/>
      <w:pPr>
        <w:ind w:left="1349" w:hanging="357"/>
      </w:pPr>
      <w:rPr>
        <w:rFonts w:ascii="Symbol" w:hAnsi="Symbol"/>
        <w:color w:val="000000"/>
      </w:rPr>
    </w:lvl>
    <w:lvl w:ilvl="1">
      <w:start w:val="1"/>
      <w:numFmt w:val="bullet"/>
      <w:lvlText w:val=""/>
      <w:lvlJc w:val="left"/>
      <w:pPr>
        <w:ind w:left="2069" w:hanging="357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ind w:left="2658" w:hanging="357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3509" w:hanging="357"/>
      </w:pPr>
    </w:lvl>
    <w:lvl w:ilvl="4">
      <w:start w:val="1"/>
      <w:numFmt w:val="decimal"/>
      <w:lvlText w:val="%1.%2.%3.%4.%5."/>
      <w:lvlJc w:val="left"/>
      <w:pPr>
        <w:ind w:left="4229" w:hanging="357"/>
      </w:pPr>
    </w:lvl>
    <w:lvl w:ilvl="5">
      <w:start w:val="1"/>
      <w:numFmt w:val="decimal"/>
      <w:lvlText w:val="%1.%2.%3.%4.%5.%6."/>
      <w:lvlJc w:val="left"/>
      <w:pPr>
        <w:ind w:left="4949" w:hanging="357"/>
      </w:pPr>
    </w:lvl>
    <w:lvl w:ilvl="6">
      <w:start w:val="1"/>
      <w:numFmt w:val="decimal"/>
      <w:lvlText w:val="%1.%2.%3.%4.%5.%6.%7."/>
      <w:lvlJc w:val="left"/>
      <w:pPr>
        <w:ind w:left="5669" w:hanging="357"/>
      </w:pPr>
    </w:lvl>
    <w:lvl w:ilvl="7">
      <w:start w:val="1"/>
      <w:numFmt w:val="decimal"/>
      <w:lvlText w:val="%1.%2.%3.%4.%5.%6.%7.%8."/>
      <w:lvlJc w:val="left"/>
      <w:pPr>
        <w:ind w:left="6389" w:hanging="357"/>
      </w:pPr>
    </w:lvl>
    <w:lvl w:ilvl="8">
      <w:start w:val="1"/>
      <w:numFmt w:val="decimal"/>
      <w:lvlText w:val="%1.%2.%3.%4.%5.%6.%7.%8.%9."/>
      <w:lvlJc w:val="left"/>
      <w:pPr>
        <w:ind w:left="7109" w:hanging="357"/>
      </w:pPr>
    </w:lvl>
  </w:abstractNum>
  <w:abstractNum w:abstractNumId="15">
    <w:multiLevelType w:val="hybridMultilevel"/>
    <w:lvl w:ilvl="0">
      <w:start w:val="1"/>
      <w:numFmt w:val="bullet"/>
      <w:lvlText w:val=""/>
      <w:lvlJc w:val="left"/>
      <w:pPr>
        <w:ind w:left="1633" w:hanging="357"/>
      </w:pPr>
      <w:rPr>
        <w:rFonts w:ascii="Symbol" w:hAnsi="Symbol"/>
        <w:color w:val="000000"/>
      </w:rPr>
    </w:lvl>
    <w:lvl w:ilvl="1">
      <w:start w:val="1"/>
      <w:numFmt w:val="bullet"/>
      <w:lvlText w:val=""/>
      <w:lvlJc w:val="left"/>
      <w:pPr>
        <w:ind w:left="1928" w:hanging="357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ind w:left="2517" w:hanging="357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3368" w:hanging="357"/>
      </w:pPr>
    </w:lvl>
    <w:lvl w:ilvl="4">
      <w:start w:val="1"/>
      <w:numFmt w:val="decimal"/>
      <w:lvlText w:val="%1.%2.%3.%4.%5."/>
      <w:lvlJc w:val="left"/>
      <w:pPr>
        <w:ind w:left="4088" w:hanging="357"/>
      </w:pPr>
    </w:lvl>
    <w:lvl w:ilvl="5">
      <w:start w:val="1"/>
      <w:numFmt w:val="decimal"/>
      <w:lvlText w:val="%1.%2.%3.%4.%5.%6."/>
      <w:lvlJc w:val="left"/>
      <w:pPr>
        <w:ind w:left="4808" w:hanging="357"/>
      </w:pPr>
    </w:lvl>
    <w:lvl w:ilvl="6">
      <w:start w:val="1"/>
      <w:numFmt w:val="decimal"/>
      <w:lvlText w:val="%1.%2.%3.%4.%5.%6.%7."/>
      <w:lvlJc w:val="left"/>
      <w:pPr>
        <w:ind w:left="5528" w:hanging="357"/>
      </w:pPr>
    </w:lvl>
    <w:lvl w:ilvl="7">
      <w:start w:val="1"/>
      <w:numFmt w:val="decimal"/>
      <w:lvlText w:val="%1.%2.%3.%4.%5.%6.%7.%8."/>
      <w:lvlJc w:val="left"/>
      <w:pPr>
        <w:ind w:left="6248" w:hanging="357"/>
      </w:pPr>
    </w:lvl>
    <w:lvl w:ilvl="8">
      <w:start w:val="1"/>
      <w:numFmt w:val="decimal"/>
      <w:lvlText w:val="%1.%2.%3.%4.%5.%6.%7.%8.%9."/>
      <w:lvlJc w:val="left"/>
      <w:pPr>
        <w:ind w:left="6968" w:hanging="357"/>
      </w:pPr>
    </w:lvl>
  </w:abstractNum>
  <w:abstractNum w:abstractNumId="16">
    <w:multiLevelType w:val="hybridMultilevel"/>
    <w:lvl w:ilvl="0">
      <w:start w:val="1"/>
      <w:numFmt w:val="decimal"/>
      <w:lvlText w:val="%1"/>
      <w:lvlJc w:val="left"/>
      <w:pPr>
        <w:ind w:left="2843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7">
    <w:multiLevelType w:val="hybridMultilevel"/>
    <w:lvl w:ilvl="0" w:tplc="31BEA438">
      <w:start w:val="1"/>
      <w:numFmt w:val="bullet"/>
      <w:pStyle w:val="--1"/>
      <w:lvlText w:val=""/>
      <w:lvlJc w:val="left"/>
      <w:pPr>
        <w:ind w:left="720" w:hanging="360"/>
      </w:pPr>
      <w:rPr>
        <w:rFonts w:ascii="Symbol" w:hAnsi="Symbol"/>
      </w:rPr>
    </w:lvl>
    <w:lvl w:ilvl="1" w:tplc="6F1030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586A2B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62E028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5CCA0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75E785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602786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E7AAE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768481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pStyle w:val="a0"/>
      <w:lvlText w:val="%1"/>
      <w:lvlJc w:val="left"/>
      <w:pPr>
        <w:ind w:left="3419" w:hanging="432"/>
      </w:pPr>
    </w:lvl>
    <w:lvl w:ilvl="1">
      <w:start w:val="1"/>
      <w:numFmt w:val="decimal"/>
      <w:pStyle w:val="20"/>
      <w:lvlText w:val="%1.%2"/>
      <w:lvlJc w:val="left"/>
      <w:pPr>
        <w:ind w:left="1152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715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1440" w:hanging="864"/>
      </w:pPr>
    </w:lvl>
    <w:lvl w:ilvl="4">
      <w:start w:val="1"/>
      <w:numFmt w:val="decimal"/>
      <w:lvlText w:val="%1.%2.%3.%4.%5"/>
      <w:lvlJc w:val="left"/>
      <w:pPr>
        <w:ind w:left="1584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728" w:hanging="1152"/>
      </w:p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9">
    <w:multiLevelType w:val="hybridMultilevel"/>
    <w:lvl w:ilvl="0" w:tplc="EA24E3A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/>
      </w:rPr>
    </w:lvl>
    <w:lvl w:ilvl="1" w:tplc="43206EE0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 w:tplc="E79CF268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2228A20A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D182123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 w:tplc="CF3A5BE0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235CDDDA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7D64EE8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 w:tplc="F52C2ED4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0">
    <w:multiLevelType w:val="hybridMultilevel"/>
    <w:lvl w:ilvl="0" w:tplc="C094954A">
      <w:start w:val="1"/>
      <w:numFmt w:val="decimal"/>
      <w:lvlText w:val="%1."/>
      <w:lvlJc w:val="left"/>
      <w:pPr>
        <w:ind w:left="720" w:hanging="360"/>
      </w:pPr>
    </w:lvl>
    <w:lvl w:ilvl="1" w:tplc="C73CFA06">
      <w:start w:val="1"/>
      <w:numFmt w:val="lowerLetter"/>
      <w:lvlText w:val="%2."/>
      <w:lvlJc w:val="left"/>
      <w:pPr>
        <w:ind w:left="1440" w:hanging="360"/>
      </w:pPr>
    </w:lvl>
    <w:lvl w:ilvl="2" w:tplc="70829AA4">
      <w:start w:val="1"/>
      <w:numFmt w:val="lowerRoman"/>
      <w:lvlText w:val="%3."/>
      <w:lvlJc w:val="right"/>
      <w:pPr>
        <w:ind w:left="2160" w:hanging="180"/>
      </w:pPr>
    </w:lvl>
    <w:lvl w:ilvl="3" w:tplc="0EBC92B2">
      <w:start w:val="1"/>
      <w:numFmt w:val="decimal"/>
      <w:lvlText w:val="%4."/>
      <w:lvlJc w:val="left"/>
      <w:pPr>
        <w:ind w:left="2880" w:hanging="360"/>
      </w:pPr>
    </w:lvl>
    <w:lvl w:ilvl="4" w:tplc="40648804">
      <w:start w:val="1"/>
      <w:numFmt w:val="lowerLetter"/>
      <w:lvlText w:val="%5."/>
      <w:lvlJc w:val="left"/>
      <w:pPr>
        <w:ind w:left="3600" w:hanging="360"/>
      </w:pPr>
    </w:lvl>
    <w:lvl w:ilvl="5" w:tplc="804EB714">
      <w:start w:val="1"/>
      <w:numFmt w:val="lowerRoman"/>
      <w:lvlText w:val="%6."/>
      <w:lvlJc w:val="right"/>
      <w:pPr>
        <w:ind w:left="4320" w:hanging="180"/>
      </w:pPr>
    </w:lvl>
    <w:lvl w:ilvl="6" w:tplc="F9A8241E">
      <w:start w:val="1"/>
      <w:numFmt w:val="decimal"/>
      <w:lvlText w:val="%7."/>
      <w:lvlJc w:val="left"/>
      <w:pPr>
        <w:ind w:left="5040" w:hanging="360"/>
      </w:pPr>
    </w:lvl>
    <w:lvl w:ilvl="7" w:tplc="FFF4F762">
      <w:start w:val="1"/>
      <w:numFmt w:val="lowerLetter"/>
      <w:lvlText w:val="%8."/>
      <w:lvlJc w:val="left"/>
      <w:pPr>
        <w:ind w:left="5760" w:hanging="360"/>
      </w:pPr>
    </w:lvl>
    <w:lvl w:ilvl="8" w:tplc="28E8C5D6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 w:tplc="E6BE9718">
      <w:start w:val="1"/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 w:tplc="E7F8D39C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 w:tplc="9DC40F7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D2B4E662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E246203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 w:tplc="269A4800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893A0134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A7505952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 w:tplc="181EA12C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bullet"/>
      <w:pStyle w:val="--2"/>
      <w:lvlText w:val=""/>
      <w:lvlJc w:val="left"/>
      <w:pPr>
        <w:ind w:left="1208" w:hanging="357"/>
      </w:pPr>
      <w:rPr>
        <w:rFonts w:ascii="Symbol" w:hAnsi="Symbol"/>
        <w:color w:val="000000"/>
      </w:rPr>
    </w:lvl>
    <w:lvl w:ilvl="1">
      <w:start w:val="1"/>
      <w:numFmt w:val="bullet"/>
      <w:lvlText w:val=""/>
      <w:lvlJc w:val="left"/>
      <w:pPr>
        <w:ind w:left="1928" w:hanging="357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ind w:left="2517" w:hanging="357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3368" w:hanging="357"/>
      </w:pPr>
    </w:lvl>
    <w:lvl w:ilvl="4">
      <w:start w:val="1"/>
      <w:numFmt w:val="decimal"/>
      <w:lvlText w:val="%1.%2.%3.%4.%5."/>
      <w:lvlJc w:val="left"/>
      <w:pPr>
        <w:ind w:left="4088" w:hanging="357"/>
      </w:pPr>
    </w:lvl>
    <w:lvl w:ilvl="5">
      <w:start w:val="1"/>
      <w:numFmt w:val="decimal"/>
      <w:lvlText w:val="%1.%2.%3.%4.%5.%6."/>
      <w:lvlJc w:val="left"/>
      <w:pPr>
        <w:ind w:left="4808" w:hanging="357"/>
      </w:pPr>
    </w:lvl>
    <w:lvl w:ilvl="6">
      <w:start w:val="1"/>
      <w:numFmt w:val="decimal"/>
      <w:lvlText w:val="%1.%2.%3.%4.%5.%6.%7."/>
      <w:lvlJc w:val="left"/>
      <w:pPr>
        <w:ind w:left="5528" w:hanging="357"/>
      </w:pPr>
    </w:lvl>
    <w:lvl w:ilvl="7">
      <w:start w:val="1"/>
      <w:numFmt w:val="decimal"/>
      <w:lvlText w:val="%1.%2.%3.%4.%5.%6.%7.%8."/>
      <w:lvlJc w:val="left"/>
      <w:pPr>
        <w:ind w:left="6248" w:hanging="357"/>
      </w:pPr>
    </w:lvl>
    <w:lvl w:ilvl="8">
      <w:start w:val="1"/>
      <w:numFmt w:val="decimal"/>
      <w:lvlText w:val="%1.%2.%3.%4.%5.%6.%7.%8.%9."/>
      <w:lvlJc w:val="left"/>
      <w:pPr>
        <w:ind w:left="6968" w:hanging="357"/>
      </w:pPr>
    </w:lvl>
  </w:abstractNum>
  <w:abstractNum w:abstractNumId="23">
    <w:multiLevelType w:val="hybridMultilevel"/>
    <w:lvl w:ilvl="0" w:tplc="1FA42F62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61E1752">
      <w:start w:val="1"/>
      <w:numFmt w:val="lowerRoman"/>
      <w:lvlText w:val="%3."/>
      <w:lvlJc w:val="right"/>
      <w:pPr>
        <w:ind w:left="2160" w:hanging="180"/>
      </w:pPr>
    </w:lvl>
    <w:lvl w:ilvl="3" w:tplc="10BE9EA2">
      <w:start w:val="1"/>
      <w:numFmt w:val="decimal"/>
      <w:lvlText w:val="%4."/>
      <w:lvlJc w:val="left"/>
      <w:pPr>
        <w:ind w:left="2880" w:hanging="360"/>
      </w:pPr>
    </w:lvl>
    <w:lvl w:ilvl="4" w:tplc="493A89FC">
      <w:start w:val="1"/>
      <w:numFmt w:val="lowerLetter"/>
      <w:lvlText w:val="%5."/>
      <w:lvlJc w:val="left"/>
      <w:pPr>
        <w:ind w:left="3600" w:hanging="360"/>
      </w:pPr>
    </w:lvl>
    <w:lvl w:ilvl="5" w:tplc="0C905D08">
      <w:start w:val="1"/>
      <w:numFmt w:val="lowerRoman"/>
      <w:lvlText w:val="%6."/>
      <w:lvlJc w:val="right"/>
      <w:pPr>
        <w:ind w:left="4320" w:hanging="180"/>
      </w:pPr>
    </w:lvl>
    <w:lvl w:ilvl="6" w:tplc="77A8CD24">
      <w:start w:val="1"/>
      <w:numFmt w:val="decimal"/>
      <w:lvlText w:val="%7."/>
      <w:lvlJc w:val="left"/>
      <w:pPr>
        <w:ind w:left="5040" w:hanging="360"/>
      </w:pPr>
    </w:lvl>
    <w:lvl w:ilvl="7" w:tplc="5BB0C6D2">
      <w:start w:val="1"/>
      <w:numFmt w:val="lowerLetter"/>
      <w:lvlText w:val="%8."/>
      <w:lvlJc w:val="left"/>
      <w:pPr>
        <w:ind w:left="5760" w:hanging="360"/>
      </w:pPr>
    </w:lvl>
    <w:lvl w:ilvl="8" w:tplc="F7E25D32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 w:tplc="F7D41902">
      <w:start w:val="1"/>
      <w:numFmt w:val="bullet"/>
      <w:lvlText w:val="­"/>
      <w:lvlJc w:val="left"/>
      <w:pPr>
        <w:ind w:left="1571" w:hanging="360"/>
      </w:pPr>
      <w:rPr>
        <w:rFonts w:ascii="Courier New" w:hAnsi="Courier New"/>
      </w:rPr>
    </w:lvl>
    <w:lvl w:ilvl="1" w:tplc="A532D82C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 w:tplc="CF601D98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DB943D6C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B6846B8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 w:tplc="78E4298E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A328B3F2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F9AA81C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 w:tplc="D0721B7A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decimal"/>
      <w:lvlText w:val="%1"/>
      <w:lvlJc w:val="left"/>
      <w:pPr>
        <w:ind w:left="2843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7">
    <w:multiLevelType w:val="hybridMultilevel"/>
    <w:lvl w:ilvl="0" w:tplc="69905296">
      <w:start w:val="1"/>
      <w:numFmt w:val="decimal"/>
      <w:lvlText w:val="%1."/>
      <w:lvlJc w:val="left"/>
      <w:pPr>
        <w:ind w:left="720" w:hanging="360"/>
      </w:pPr>
    </w:lvl>
    <w:lvl w:ilvl="1" w:tplc="D480B998">
      <w:start w:val="1"/>
      <w:numFmt w:val="lowerLetter"/>
      <w:lvlText w:val="%2."/>
      <w:lvlJc w:val="left"/>
      <w:pPr>
        <w:ind w:left="1440" w:hanging="360"/>
      </w:pPr>
    </w:lvl>
    <w:lvl w:ilvl="2" w:tplc="7844305C">
      <w:start w:val="1"/>
      <w:numFmt w:val="lowerRoman"/>
      <w:lvlText w:val="%3."/>
      <w:lvlJc w:val="right"/>
      <w:pPr>
        <w:ind w:left="2160" w:hanging="180"/>
      </w:pPr>
    </w:lvl>
    <w:lvl w:ilvl="3" w:tplc="858A78B0">
      <w:start w:val="1"/>
      <w:numFmt w:val="decimal"/>
      <w:lvlText w:val="%4."/>
      <w:lvlJc w:val="left"/>
      <w:pPr>
        <w:ind w:left="2880" w:hanging="360"/>
      </w:pPr>
    </w:lvl>
    <w:lvl w:ilvl="4" w:tplc="5D446DB4">
      <w:start w:val="1"/>
      <w:numFmt w:val="lowerLetter"/>
      <w:lvlText w:val="%5."/>
      <w:lvlJc w:val="left"/>
      <w:pPr>
        <w:ind w:left="3600" w:hanging="360"/>
      </w:pPr>
    </w:lvl>
    <w:lvl w:ilvl="5" w:tplc="FE78F17C">
      <w:start w:val="1"/>
      <w:numFmt w:val="lowerRoman"/>
      <w:lvlText w:val="%6."/>
      <w:lvlJc w:val="right"/>
      <w:pPr>
        <w:ind w:left="4320" w:hanging="180"/>
      </w:pPr>
    </w:lvl>
    <w:lvl w:ilvl="6" w:tplc="E5CA3D28">
      <w:start w:val="1"/>
      <w:numFmt w:val="decimal"/>
      <w:lvlText w:val="%7."/>
      <w:lvlJc w:val="left"/>
      <w:pPr>
        <w:ind w:left="5040" w:hanging="360"/>
      </w:pPr>
    </w:lvl>
    <w:lvl w:ilvl="7" w:tplc="88DE1554">
      <w:start w:val="1"/>
      <w:numFmt w:val="lowerLetter"/>
      <w:lvlText w:val="%8."/>
      <w:lvlJc w:val="left"/>
      <w:pPr>
        <w:ind w:left="5760" w:hanging="360"/>
      </w:pPr>
    </w:lvl>
    <w:lvl w:ilvl="8" w:tplc="85EE85B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multiLevelType w:val="hybridMultilevel"/>
    <w:lvl w:ilvl="0">
      <w:start w:val="1"/>
      <w:numFmt w:val="decimal"/>
      <w:lvlText w:val="%1"/>
      <w:lvlJc w:val="left"/>
      <w:pPr>
        <w:ind w:left="2843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0">
    <w:multiLevelType w:val="hybridMultilevel"/>
    <w:lvl w:ilvl="0">
      <w:start w:val="1"/>
      <w:numFmt w:val="decimal"/>
      <w:lvlText w:val="А.%1"/>
      <w:lvlJc w:val="left"/>
      <w:pPr>
        <w:ind w:left="0" w:firstLine="851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 w:tplc="F3A0FC72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61F8DC96">
      <w:start w:val="1"/>
      <w:numFmt w:val="lowerLetter"/>
      <w:lvlText w:val="%2."/>
      <w:lvlJc w:val="left"/>
      <w:pPr>
        <w:ind w:left="2291" w:hanging="360"/>
      </w:pPr>
    </w:lvl>
    <w:lvl w:ilvl="2" w:tplc="17321926">
      <w:start w:val="1"/>
      <w:numFmt w:val="lowerRoman"/>
      <w:lvlText w:val="%3."/>
      <w:lvlJc w:val="right"/>
      <w:pPr>
        <w:ind w:left="3011" w:hanging="180"/>
      </w:pPr>
    </w:lvl>
    <w:lvl w:ilvl="3" w:tplc="47701A80">
      <w:start w:val="1"/>
      <w:numFmt w:val="decimal"/>
      <w:lvlText w:val="%4."/>
      <w:lvlJc w:val="left"/>
      <w:pPr>
        <w:ind w:left="3731" w:hanging="360"/>
      </w:pPr>
    </w:lvl>
    <w:lvl w:ilvl="4" w:tplc="1DB405A6">
      <w:start w:val="1"/>
      <w:numFmt w:val="lowerLetter"/>
      <w:lvlText w:val="%5."/>
      <w:lvlJc w:val="left"/>
      <w:pPr>
        <w:ind w:left="4451" w:hanging="360"/>
      </w:pPr>
    </w:lvl>
    <w:lvl w:ilvl="5" w:tplc="0B5E8E4E">
      <w:start w:val="1"/>
      <w:numFmt w:val="lowerRoman"/>
      <w:lvlText w:val="%6."/>
      <w:lvlJc w:val="right"/>
      <w:pPr>
        <w:ind w:left="5171" w:hanging="180"/>
      </w:pPr>
    </w:lvl>
    <w:lvl w:ilvl="6" w:tplc="C712AB00">
      <w:start w:val="1"/>
      <w:numFmt w:val="decimal"/>
      <w:lvlText w:val="%7."/>
      <w:lvlJc w:val="left"/>
      <w:pPr>
        <w:ind w:left="5891" w:hanging="360"/>
      </w:pPr>
    </w:lvl>
    <w:lvl w:ilvl="7" w:tplc="AC2C988A">
      <w:start w:val="1"/>
      <w:numFmt w:val="lowerLetter"/>
      <w:lvlText w:val="%8."/>
      <w:lvlJc w:val="left"/>
      <w:pPr>
        <w:ind w:left="6611" w:hanging="360"/>
      </w:pPr>
    </w:lvl>
    <w:lvl w:ilvl="8" w:tplc="5FC2F3C2">
      <w:start w:val="1"/>
      <w:numFmt w:val="lowerRoman"/>
      <w:lvlText w:val="%9."/>
      <w:lvlJc w:val="right"/>
      <w:pPr>
        <w:ind w:left="7331" w:hanging="180"/>
      </w:pPr>
    </w:lvl>
  </w:abstractNum>
  <w:abstractNum w:abstractNumId="35">
    <w:multiLevelType w:val="hybridMultilevel"/>
    <w:lvl w:ilvl="0">
      <w:start w:val="1"/>
      <w:numFmt w:val="decimal"/>
      <w:lvlText w:val="%1"/>
      <w:lvlJc w:val="left"/>
      <w:pPr>
        <w:ind w:left="2843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6">
    <w:multiLevelType w:val="hybridMultilevel"/>
    <w:lvl w:ilvl="0" w:tplc="CF98A0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C3461DA">
      <w:start w:val="1"/>
      <w:numFmt w:val="lowerLetter"/>
      <w:lvlText w:val="%2."/>
      <w:lvlJc w:val="left"/>
      <w:pPr>
        <w:ind w:left="1440" w:hanging="360"/>
      </w:pPr>
    </w:lvl>
    <w:lvl w:ilvl="2" w:tplc="755A579C">
      <w:start w:val="1"/>
      <w:numFmt w:val="lowerRoman"/>
      <w:lvlText w:val="%3."/>
      <w:lvlJc w:val="right"/>
      <w:pPr>
        <w:ind w:left="2160" w:hanging="180"/>
      </w:pPr>
    </w:lvl>
    <w:lvl w:ilvl="3" w:tplc="6E7CF3BE">
      <w:start w:val="1"/>
      <w:numFmt w:val="decimal"/>
      <w:lvlText w:val="%4."/>
      <w:lvlJc w:val="left"/>
      <w:pPr>
        <w:ind w:left="2880" w:hanging="360"/>
      </w:pPr>
    </w:lvl>
    <w:lvl w:ilvl="4" w:tplc="572CB67E">
      <w:start w:val="1"/>
      <w:numFmt w:val="lowerLetter"/>
      <w:lvlText w:val="%5."/>
      <w:lvlJc w:val="left"/>
      <w:pPr>
        <w:ind w:left="3600" w:hanging="360"/>
      </w:pPr>
    </w:lvl>
    <w:lvl w:ilvl="5" w:tplc="73DC32EC">
      <w:start w:val="1"/>
      <w:numFmt w:val="lowerRoman"/>
      <w:lvlText w:val="%6."/>
      <w:lvlJc w:val="right"/>
      <w:pPr>
        <w:ind w:left="4320" w:hanging="180"/>
      </w:pPr>
    </w:lvl>
    <w:lvl w:ilvl="6" w:tplc="E7EA86E8">
      <w:start w:val="1"/>
      <w:numFmt w:val="decimal"/>
      <w:lvlText w:val="%7."/>
      <w:lvlJc w:val="left"/>
      <w:pPr>
        <w:ind w:left="5040" w:hanging="360"/>
      </w:pPr>
    </w:lvl>
    <w:lvl w:ilvl="7" w:tplc="D7E655E4">
      <w:start w:val="1"/>
      <w:numFmt w:val="lowerLetter"/>
      <w:lvlText w:val="%8."/>
      <w:lvlJc w:val="left"/>
      <w:pPr>
        <w:ind w:left="5760" w:hanging="360"/>
      </w:pPr>
    </w:lvl>
    <w:lvl w:ilvl="8" w:tplc="7642594C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lvlText w:val="%1"/>
      <w:lvlJc w:val="left"/>
      <w:pPr>
        <w:ind w:left="2843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i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8">
    <w:multiLevelType w:val="hybridMultilevel"/>
    <w:lvl w:ilvl="0" w:tplc="59B6F220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/>
      </w:rPr>
    </w:lvl>
    <w:lvl w:ilvl="1" w:tplc="40626450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 w:tplc="CFA217FC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A65A344A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73C2621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 w:tplc="7FCE7BB2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BEAA2C6A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50203B8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 w:tplc="996A213A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39">
    <w:multiLevelType w:val="hybridMultilevel"/>
    <w:lvl w:ilvl="0" w:tplc="9820775C">
      <w:start w:val="1"/>
      <w:numFmt w:val="bullet"/>
      <w:lvlText w:val="­"/>
      <w:lvlJc w:val="left"/>
      <w:pPr>
        <w:ind w:left="1776" w:hanging="360"/>
      </w:pPr>
      <w:rPr>
        <w:rFonts w:ascii="Courier New" w:hAnsi="Courier New"/>
      </w:rPr>
    </w:lvl>
    <w:lvl w:ilvl="1" w:tplc="66BA495E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 w:tplc="1AC45672">
      <w:start w:val="1"/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 w:tplc="CA12C3B2">
      <w:start w:val="1"/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 w:tplc="22822E8E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 w:tplc="5C0EDD14">
      <w:start w:val="1"/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 w:tplc="F20437A4">
      <w:start w:val="1"/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 w:tplc="EA86B9F8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 w:tplc="034E10B0">
      <w:start w:val="1"/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40">
    <w:multiLevelType w:val="hybridMultilevel"/>
    <w:lvl w:ilvl="0" w:tplc="AFACF6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</w:rPr>
    </w:lvl>
    <w:lvl w:ilvl="1" w:tplc="3FD4FC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406ADD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33033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FF426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FFA27F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786915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56856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2E4511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multiLevelType w:val="hybridMultilevel"/>
    <w:lvl w:ilvl="0" w:tplc="FF62E10C">
      <w:start w:val="1"/>
      <w:numFmt w:val="decimal"/>
      <w:lvlText w:val="%1"/>
      <w:lvlJc w:val="left"/>
      <w:pPr>
        <w:ind w:left="720" w:hanging="360"/>
      </w:pPr>
      <w:rPr>
        <w:rFonts w:cs="Times New Roman"/>
        <w:color w:val="000000"/>
        <w:sz w:val="22"/>
        <w:szCs w:val="22"/>
      </w:rPr>
    </w:lvl>
    <w:lvl w:ilvl="1" w:tplc="4A6A5C2E">
      <w:start w:val="1"/>
      <w:numFmt w:val="lowerLetter"/>
      <w:lvlText w:val="%2."/>
      <w:lvlJc w:val="left"/>
      <w:pPr>
        <w:ind w:left="1440" w:hanging="360"/>
      </w:pPr>
    </w:lvl>
    <w:lvl w:ilvl="2" w:tplc="A2DA0A0C">
      <w:start w:val="1"/>
      <w:numFmt w:val="lowerRoman"/>
      <w:lvlText w:val="%3."/>
      <w:lvlJc w:val="right"/>
      <w:pPr>
        <w:ind w:left="2160" w:hanging="180"/>
      </w:pPr>
    </w:lvl>
    <w:lvl w:ilvl="3" w:tplc="E7207924">
      <w:start w:val="1"/>
      <w:numFmt w:val="decimal"/>
      <w:lvlText w:val="%4."/>
      <w:lvlJc w:val="left"/>
      <w:pPr>
        <w:ind w:left="2880" w:hanging="360"/>
      </w:pPr>
    </w:lvl>
    <w:lvl w:ilvl="4" w:tplc="D61204C6">
      <w:start w:val="1"/>
      <w:numFmt w:val="lowerLetter"/>
      <w:lvlText w:val="%5."/>
      <w:lvlJc w:val="left"/>
      <w:pPr>
        <w:ind w:left="3600" w:hanging="360"/>
      </w:pPr>
    </w:lvl>
    <w:lvl w:ilvl="5" w:tplc="8EE218D2">
      <w:start w:val="1"/>
      <w:numFmt w:val="lowerRoman"/>
      <w:lvlText w:val="%6."/>
      <w:lvlJc w:val="right"/>
      <w:pPr>
        <w:ind w:left="4320" w:hanging="180"/>
      </w:pPr>
    </w:lvl>
    <w:lvl w:ilvl="6" w:tplc="9114556A">
      <w:start w:val="1"/>
      <w:numFmt w:val="decimal"/>
      <w:lvlText w:val="%7."/>
      <w:lvlJc w:val="left"/>
      <w:pPr>
        <w:ind w:left="5040" w:hanging="360"/>
      </w:pPr>
    </w:lvl>
    <w:lvl w:ilvl="7" w:tplc="4B08E364">
      <w:start w:val="1"/>
      <w:numFmt w:val="lowerLetter"/>
      <w:lvlText w:val="%8."/>
      <w:lvlJc w:val="left"/>
      <w:pPr>
        <w:ind w:left="5760" w:hanging="360"/>
      </w:pPr>
    </w:lvl>
    <w:lvl w:ilvl="8" w:tplc="228CA5A4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 w:tplc="BCF6C57E">
      <w:start w:val="1"/>
      <w:numFmt w:val="bullet"/>
      <w:pStyle w:val="4"/>
      <w:lvlText w:val=""/>
      <w:lvlJc w:val="left"/>
      <w:pPr>
        <w:ind w:left="1492" w:hanging="360"/>
      </w:pPr>
      <w:rPr>
        <w:rFonts w:ascii="Symbol" w:hAnsi="Symbol"/>
      </w:rPr>
    </w:lvl>
    <w:lvl w:ilvl="1" w:tplc="EBF6CEF8">
      <w:start w:val="1"/>
      <w:numFmt w:val="decimal"/>
      <w:lvlText w:val="%2"/>
      <w:lvlJc w:val="left"/>
    </w:lvl>
    <w:lvl w:ilvl="2" w:tplc="A260C13E">
      <w:start w:val="1"/>
      <w:numFmt w:val="decimal"/>
      <w:lvlText w:val="%3"/>
      <w:lvlJc w:val="left"/>
    </w:lvl>
    <w:lvl w:ilvl="3" w:tplc="10525A5E">
      <w:start w:val="1"/>
      <w:numFmt w:val="decimal"/>
      <w:lvlText w:val="%4"/>
      <w:lvlJc w:val="left"/>
    </w:lvl>
    <w:lvl w:ilvl="4" w:tplc="613473DA">
      <w:start w:val="1"/>
      <w:numFmt w:val="decimal"/>
      <w:lvlText w:val="%5"/>
      <w:lvlJc w:val="left"/>
    </w:lvl>
    <w:lvl w:ilvl="5" w:tplc="F0C0A64E">
      <w:start w:val="1"/>
      <w:numFmt w:val="decimal"/>
      <w:lvlText w:val="%6"/>
      <w:lvlJc w:val="left"/>
    </w:lvl>
    <w:lvl w:ilvl="6" w:tplc="6C427B04">
      <w:start w:val="1"/>
      <w:numFmt w:val="decimal"/>
      <w:lvlText w:val="%7"/>
      <w:lvlJc w:val="left"/>
    </w:lvl>
    <w:lvl w:ilvl="7" w:tplc="CEBEF2AC">
      <w:start w:val="1"/>
      <w:numFmt w:val="decimal"/>
      <w:lvlText w:val="%8"/>
      <w:lvlJc w:val="left"/>
    </w:lvl>
    <w:lvl w:ilvl="8" w:tplc="6F56931A">
      <w:start w:val="1"/>
      <w:numFmt w:val="decimal"/>
      <w:lvlText w:val="%9"/>
      <w:lvlJc w:val="left"/>
    </w:lvl>
  </w:abstractNum>
  <w:abstractNum w:abstractNumId="43">
    <w:multiLevelType w:val="hybridMultilevel"/>
    <w:lvl w:ilvl="0" w:tplc="13B2E1CC">
      <w:start w:val="1"/>
      <w:numFmt w:val="decimal"/>
      <w:lvlText w:val="%1."/>
      <w:lvlJc w:val="left"/>
      <w:pPr>
        <w:ind w:left="720" w:hanging="360"/>
      </w:pPr>
    </w:lvl>
    <w:lvl w:ilvl="1" w:tplc="EE98BCA0">
      <w:start w:val="1"/>
      <w:numFmt w:val="decimal"/>
      <w:lvlText w:val="%2."/>
      <w:lvlJc w:val="left"/>
      <w:pPr>
        <w:ind w:left="1440" w:hanging="360"/>
      </w:pPr>
    </w:lvl>
    <w:lvl w:ilvl="2" w:tplc="C9F4335A">
      <w:start w:val="1"/>
      <w:numFmt w:val="lowerRoman"/>
      <w:lvlText w:val="%3."/>
      <w:lvlJc w:val="right"/>
      <w:pPr>
        <w:ind w:left="2160" w:hanging="180"/>
      </w:pPr>
    </w:lvl>
    <w:lvl w:ilvl="3" w:tplc="55028854">
      <w:start w:val="1"/>
      <w:numFmt w:val="decimal"/>
      <w:lvlText w:val="%4."/>
      <w:lvlJc w:val="left"/>
      <w:pPr>
        <w:ind w:left="2880" w:hanging="360"/>
      </w:pPr>
    </w:lvl>
    <w:lvl w:ilvl="4" w:tplc="79AAD1B0">
      <w:start w:val="1"/>
      <w:numFmt w:val="lowerLetter"/>
      <w:lvlText w:val="%5."/>
      <w:lvlJc w:val="left"/>
      <w:pPr>
        <w:ind w:left="3600" w:hanging="360"/>
      </w:pPr>
    </w:lvl>
    <w:lvl w:ilvl="5" w:tplc="09E2A190">
      <w:start w:val="1"/>
      <w:numFmt w:val="lowerRoman"/>
      <w:lvlText w:val="%6."/>
      <w:lvlJc w:val="right"/>
      <w:pPr>
        <w:ind w:left="4320" w:hanging="180"/>
      </w:pPr>
    </w:lvl>
    <w:lvl w:ilvl="6" w:tplc="BEC418AE">
      <w:start w:val="1"/>
      <w:numFmt w:val="decimal"/>
      <w:lvlText w:val="%7."/>
      <w:lvlJc w:val="left"/>
      <w:pPr>
        <w:ind w:left="5040" w:hanging="360"/>
      </w:pPr>
    </w:lvl>
    <w:lvl w:ilvl="7" w:tplc="3BC45C88">
      <w:start w:val="1"/>
      <w:numFmt w:val="lowerLetter"/>
      <w:lvlText w:val="%8."/>
      <w:lvlJc w:val="left"/>
      <w:pPr>
        <w:ind w:left="5760" w:hanging="360"/>
      </w:pPr>
    </w:lvl>
    <w:lvl w:ilvl="8" w:tplc="286C131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6"/>
  </w:num>
  <w:num w:numId="3">
    <w:abstractNumId w:val="16"/>
  </w:num>
  <w:num w:numId="4">
    <w:abstractNumId w:val="29"/>
  </w:num>
  <w:num w:numId="5">
    <w:abstractNumId w:val="0"/>
  </w:num>
  <w:num w:numId="6">
    <w:abstractNumId w:val="18"/>
  </w:num>
  <w:num w:numId="7">
    <w:abstractNumId w:val="37"/>
  </w:num>
  <w:num w:numId="8">
    <w:abstractNumId w:val="35"/>
  </w:num>
  <w:num w:numId="9">
    <w:abstractNumId w:val="2"/>
  </w:num>
  <w:num w:numId="10">
    <w:abstractNumId w:val="17"/>
  </w:num>
  <w:num w:numId="11">
    <w:abstractNumId w:val="13"/>
  </w:num>
  <w:num w:numId="12">
    <w:abstractNumId w:val="4"/>
  </w:num>
  <w:num w:numId="13">
    <w:abstractNumId w:val="7"/>
  </w:num>
  <w:num w:numId="14">
    <w:abstractNumId w:val="42"/>
  </w:num>
  <w:num w:numId="15">
    <w:abstractNumId w:val="6"/>
  </w:num>
  <w:num w:numId="16">
    <w:abstractNumId w:val="22"/>
  </w:num>
  <w:num w:numId="17">
    <w:abstractNumId w:val="19"/>
  </w:num>
  <w:num w:numId="18">
    <w:abstractNumId w:val="14"/>
  </w:num>
  <w:num w:numId="19">
    <w:abstractNumId w:val="20"/>
  </w:num>
  <w:num w:numId="20">
    <w:abstractNumId w:val="9"/>
  </w:num>
  <w:num w:numId="21">
    <w:abstractNumId w:val="15"/>
  </w:num>
  <w:num w:numId="22">
    <w:abstractNumId w:val="10"/>
  </w:num>
  <w:num w:numId="23">
    <w:abstractNumId w:val="43"/>
  </w:num>
  <w:num w:numId="24">
    <w:abstractNumId w:val="5"/>
  </w:num>
  <w:num w:numId="25">
    <w:abstractNumId w:val="34"/>
  </w:num>
  <w:num w:numId="26">
    <w:abstractNumId w:val="36"/>
  </w:num>
  <w:num w:numId="27">
    <w:abstractNumId w:val="38"/>
  </w:num>
  <w:num w:numId="28">
    <w:abstractNumId w:val="2"/>
    <w:lvlOverride w:ilvl="0">
      <w:startOverride w:val="1"/>
    </w:lvlOverride>
  </w:num>
  <w:num w:numId="29">
    <w:abstractNumId w:val="25"/>
  </w:num>
  <w:num w:numId="30">
    <w:abstractNumId w:val="2"/>
    <w:lvlOverride w:ilvl="0">
      <w:startOverride w:val="1"/>
    </w:lvlOverride>
  </w:num>
  <w:num w:numId="31">
    <w:abstractNumId w:val="30"/>
  </w:num>
  <w:num w:numId="32">
    <w:abstractNumId w:val="33"/>
  </w:num>
  <w:num w:numId="33">
    <w:abstractNumId w:val="32"/>
  </w:num>
  <w:num w:numId="34">
    <w:abstractNumId w:val="12"/>
  </w:num>
  <w:num w:numId="35">
    <w:abstractNumId w:val="40"/>
  </w:num>
  <w:num w:numId="36">
    <w:abstractNumId w:val="24"/>
  </w:num>
  <w:num w:numId="37">
    <w:abstractNumId w:val="27"/>
  </w:num>
  <w:num w:numId="38">
    <w:abstractNumId w:val="41"/>
  </w:num>
  <w:num w:numId="39">
    <w:abstractNumId w:val="23"/>
  </w:num>
  <w:num w:numId="40">
    <w:abstractNumId w:val="18"/>
  </w:num>
  <w:num w:numId="41">
    <w:abstractNumId w:val="39"/>
  </w:num>
  <w:num w:numId="42">
    <w:abstractNumId w:val="21"/>
  </w:num>
  <w:num w:numId="43">
    <w:abstractNumId w:val="1"/>
  </w:num>
  <w:num w:numId="44">
    <w:abstractNumId w:val="31"/>
  </w:num>
  <w:num w:numId="45">
    <w:abstractNumId w:val="28"/>
  </w:num>
  <w:num w:numId="46">
    <w:abstractNumId w:val="11"/>
  </w:num>
  <w:num w:numId="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pPr>
      <w:spacing w:after="160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a1"/>
    <w:next w:val="a1"/>
    <w:link w:val="11"/>
    <w:uiPriority w:val="9"/>
    <w:qFormat/>
    <w:pPr>
      <w:keepNext/>
      <w:pageBreakBefore/>
      <w:spacing w:before="240" w:after="120" w:line="360" w:lineRule="auto"/>
      <w:outlineLvl w:val="0"/>
    </w:pPr>
    <w:rPr>
      <w:rFonts w:eastAsia="Times New Roman" w:cs="Times New Roman"/>
      <w:b/>
      <w:bCs/>
      <w:sz w:val="32"/>
      <w:szCs w:val="32"/>
      <w:lang w:bidi="en-US"/>
    </w:rPr>
  </w:style>
  <w:style w:type="paragraph" w:styleId="20">
    <w:name w:val="heading 2"/>
    <w:basedOn w:val="a1"/>
    <w:next w:val="a1"/>
    <w:link w:val="23"/>
    <w:uiPriority w:val="9"/>
    <w:qFormat/>
    <w:pPr>
      <w:keepNext/>
      <w:numPr>
        <w:numId w:val="6"/>
        <w:ilvl w:val="1"/>
      </w:numPr>
      <w:tabs>
        <w:tab w:val="num" w:pos="851"/>
      </w:tabs>
      <w:spacing w:before="240" w:after="120" w:line="360" w:lineRule="auto"/>
      <w:ind w:left="1134" w:hanging="283"/>
      <w:jc w:val="both"/>
      <w:outlineLvl w:val="1"/>
    </w:pPr>
    <w:rPr>
      <w:rFonts w:ascii="Times New Roman Полужирный" w:hAnsi="Times New Roman Полужирный" w:eastAsia="Arial Unicode MS" w:cs="Times New Roman"/>
      <w:b/>
      <w:sz w:val="28"/>
      <w:szCs w:val="24"/>
      <w:lang w:eastAsia="ru-RU"/>
    </w:rPr>
  </w:style>
  <w:style w:type="paragraph" w:styleId="3">
    <w:name w:val="heading 3"/>
    <w:basedOn w:val="a1"/>
    <w:next w:val="a1"/>
    <w:link w:val="31"/>
    <w:uiPriority w:val="9"/>
    <w:qFormat/>
    <w:pPr>
      <w:numPr>
        <w:ilvl w:val="2"/>
      </w:numPr>
      <w:ind w:left="709"/>
      <w:outlineLvl w:val="2"/>
    </w:pPr>
  </w:style>
  <w:style w:type="paragraph" w:styleId="40">
    <w:name w:val="heading 4"/>
    <w:basedOn w:val="a1"/>
    <w:next w:val="a1"/>
    <w:link w:val="41"/>
    <w:pPr>
      <w:keepNext/>
      <w:spacing w:before="240" w:after="120"/>
      <w:ind w:left="851"/>
      <w:jc w:val="both"/>
      <w:outlineLvl w:val="3"/>
    </w:pPr>
    <w:rPr>
      <w:rFonts w:eastAsia="Times New Roman" w:cs="Times New Roman"/>
      <w:sz w:val="26"/>
      <w:szCs w:val="26"/>
    </w:rPr>
  </w:style>
  <w:style w:type="paragraph" w:styleId="5">
    <w:name w:val="heading 5"/>
    <w:basedOn w:val="a1"/>
    <w:next w:val="a1"/>
    <w:link w:val="51"/>
    <w:pPr>
      <w:keepNext/>
      <w:spacing w:before="240" w:after="120"/>
      <w:ind w:left="851"/>
      <w:jc w:val="both"/>
      <w:outlineLvl w:val="4"/>
    </w:pPr>
    <w:rPr>
      <w:rFonts w:eastAsia="Symbol" w:cs="Times New Roman"/>
      <w:i/>
      <w:iCs/>
      <w:szCs w:val="24"/>
      <w:lang w:eastAsia="zh-CN"/>
    </w:rPr>
  </w:style>
  <w:style w:type="paragraph" w:styleId="6">
    <w:name w:val="heading 6"/>
    <w:basedOn w:val="a1"/>
    <w:next w:val="a1"/>
    <w:link w:val="62"/>
    <w:pPr>
      <w:keepNext/>
      <w:keepLines/>
      <w:spacing w:before="40" w:after="0"/>
      <w:outlineLvl w:val="5"/>
    </w:pPr>
    <w:rPr>
      <w:rFonts w:ascii="Calibri Light" w:hAnsi="Calibri Light" w:eastAsia="Times New Roman" w:cs="Times New Roman"/>
      <w:color w:val="1f3763"/>
    </w:rPr>
  </w:style>
  <w:style w:type="paragraph" w:styleId="7">
    <w:name w:val="heading 7"/>
    <w:basedOn w:val="a1"/>
    <w:next w:val="a1"/>
    <w:link w:val="71"/>
    <w:pPr>
      <w:keepNext/>
      <w:keepLines/>
      <w:spacing w:before="120" w:after="0"/>
      <w:ind w:left="1296" w:hanging="1296"/>
      <w:outlineLvl w:val="6"/>
    </w:pPr>
    <w:rPr>
      <w:rFonts w:ascii="Mangal" w:hAnsi="Mangal" w:eastAsia="Symbol" w:cs="Mangal"/>
      <w:b/>
      <w:i/>
      <w:szCs w:val="20"/>
      <w:lang w:eastAsia="zh-CN"/>
    </w:rPr>
  </w:style>
  <w:style w:type="paragraph" w:styleId="8">
    <w:name w:val="heading 8"/>
    <w:basedOn w:val="a1"/>
    <w:next w:val="a1"/>
    <w:link w:val="81"/>
    <w:pPr>
      <w:keepNext/>
      <w:keepLines/>
      <w:spacing w:before="120" w:after="0"/>
      <w:ind w:left="1440" w:hanging="1440"/>
      <w:outlineLvl w:val="7"/>
    </w:pPr>
    <w:rPr>
      <w:rFonts w:ascii="Mangal" w:hAnsi="Mangal" w:eastAsia="Symbol" w:cs="Mangal"/>
      <w:b/>
      <w:szCs w:val="20"/>
      <w:lang w:eastAsia="zh-CN"/>
    </w:rPr>
  </w:style>
  <w:style w:type="paragraph" w:styleId="9">
    <w:name w:val="heading 9"/>
    <w:basedOn w:val="a1"/>
    <w:next w:val="a1"/>
    <w:link w:val="91"/>
    <w:pPr>
      <w:keepNext/>
      <w:keepLines/>
      <w:spacing w:before="120" w:after="0"/>
      <w:ind w:left="1584" w:hanging="1584"/>
      <w:outlineLvl w:val="8"/>
    </w:pPr>
    <w:rPr>
      <w:rFonts w:ascii="Mangal" w:hAnsi="Mangal" w:eastAsia="Symbol" w:cs="Mangal"/>
      <w:szCs w:val="20"/>
      <w:lang w:eastAsia="zh-CN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paragraph" w:styleId="a5">
    <w:name w:val="List Paragraph"/>
    <w:basedOn w:val="a1"/>
    <w:pPr>
      <w:ind w:left="720"/>
    </w:pPr>
  </w:style>
  <w:style w:type="paragraph" w:styleId="a6">
    <w:name w:val="No Spacing"/>
    <w:rPr>
      <w:rFonts w:eastAsia="Yu Mincho"/>
      <w:sz w:val="22"/>
      <w:szCs w:val="22"/>
    </w:rPr>
  </w:style>
  <w:style w:type="paragraph" w:styleId="a7">
    <w:name w:val="Title"/>
    <w:basedOn w:val="a1"/>
    <w:next w:val="a1"/>
    <w:link w:val="1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  <w:rPr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paragraph" w:styleId="ac">
    <w:name w:val="header"/>
    <w:basedOn w:val="a1"/>
    <w:link w:val="13"/>
    <w:uiPriority w:val="99"/>
    <w:pPr>
      <w:tabs>
        <w:tab w:val="center" w:pos="4677"/>
        <w:tab w:val="right" w:pos="9355"/>
      </w:tabs>
      <w:spacing w:after="0"/>
    </w:pPr>
    <w:rPr>
      <w:szCs w:val="24"/>
    </w:rPr>
  </w:style>
  <w:style w:type="paragraph" w:styleId="ad">
    <w:name w:val="footer"/>
    <w:basedOn w:val="a1"/>
    <w:link w:val="14"/>
    <w:pPr>
      <w:tabs>
        <w:tab w:val="center" w:pos="4677"/>
        <w:tab w:val="right" w:pos="9355"/>
      </w:tabs>
      <w:spacing w:after="0"/>
    </w:pPr>
    <w:rPr>
      <w:szCs w:val="24"/>
    </w:rPr>
  </w:style>
  <w:style w:type="paragraph" w:styleId="ae">
    <w:name w:val="caption"/>
    <w:basedOn w:val="a1"/>
    <w:next w:val="a1"/>
    <w:link w:val="15"/>
    <w:uiPriority w:val="35"/>
    <w:qFormat/>
    <w:pPr>
      <w:spacing w:after="200"/>
    </w:pPr>
    <w:rPr>
      <w:iCs/>
      <w:szCs w:val="18"/>
    </w:rPr>
  </w:style>
  <w:style w:type="table" w:styleId="af">
    <w:name w:val="Table Grid"/>
    <w:basedOn w:val="a3"/>
    <w:uiPriority w:val="59"/>
    <w:tblPr/>
  </w:style>
  <w:style w:type="table" w:styleId="16">
    <w:name w:val="Plain Table 1"/>
    <w:basedOn w:val="a3"/>
    <w:uiPriority w:val="59"/>
    <w:tblPr/>
  </w:style>
  <w:style w:type="table" w:styleId="24">
    <w:name w:val="Plain Table 2"/>
    <w:basedOn w:val="a3"/>
    <w:uiPriority w:val="59"/>
    <w:tblPr/>
  </w:style>
  <w:style w:type="table" w:styleId="30">
    <w:name w:val="Plain Table 3"/>
    <w:basedOn w:val="a3"/>
    <w:uiPriority w:val="99"/>
    <w:tblPr/>
  </w:style>
  <w:style w:type="table" w:styleId="42">
    <w:name w:val="Plain Table 4"/>
    <w:basedOn w:val="a3"/>
    <w:uiPriority w:val="99"/>
    <w:tblPr/>
  </w:style>
  <w:style w:type="table" w:styleId="50">
    <w:name w:val="Plain Table 5"/>
    <w:basedOn w:val="a3"/>
    <w:uiPriority w:val="99"/>
    <w:tblPr/>
  </w:style>
  <w:style w:type="table" w:styleId="-10">
    <w:name w:val="Grid Table 1 Light"/>
    <w:basedOn w:val="a3"/>
    <w:uiPriority w:val="99"/>
    <w:tblPr/>
  </w:style>
  <w:style w:type="table" w:styleId="-2">
    <w:name w:val="Grid Table 2"/>
    <w:basedOn w:val="a3"/>
    <w:uiPriority w:val="99"/>
    <w:tblPr/>
  </w:style>
  <w:style w:type="table" w:styleId="-3">
    <w:name w:val="Grid Table 3"/>
    <w:basedOn w:val="a3"/>
    <w:uiPriority w:val="99"/>
    <w:tblPr/>
  </w:style>
  <w:style w:type="table" w:styleId="-4">
    <w:name w:val="Grid Table 4"/>
    <w:basedOn w:val="a3"/>
    <w:uiPriority w:val="59"/>
    <w:tblPr/>
  </w:style>
  <w:style w:type="table" w:styleId="-5">
    <w:name w:val="Grid Table 5 Dark"/>
    <w:basedOn w:val="a3"/>
    <w:uiPriority w:val="99"/>
    <w:tblPr/>
  </w:style>
  <w:style w:type="table" w:styleId="-6">
    <w:name w:val="Grid Table 6 Colorful"/>
    <w:basedOn w:val="a3"/>
    <w:uiPriority w:val="99"/>
    <w:tblPr/>
  </w:style>
  <w:style w:type="table" w:styleId="-7">
    <w:name w:val="Grid Table 7 Colorful"/>
    <w:basedOn w:val="a3"/>
    <w:uiPriority w:val="99"/>
    <w:tblPr/>
  </w:style>
  <w:style w:type="table" w:styleId="-11">
    <w:name w:val="List Table 1 Light"/>
    <w:basedOn w:val="a3"/>
    <w:uiPriority w:val="99"/>
    <w:tblPr/>
  </w:style>
  <w:style w:type="table" w:styleId="-20">
    <w:name w:val="List Table 2"/>
    <w:basedOn w:val="a3"/>
    <w:uiPriority w:val="99"/>
    <w:tblPr/>
  </w:style>
  <w:style w:type="table" w:styleId="-30">
    <w:name w:val="List Table 3"/>
    <w:basedOn w:val="a3"/>
    <w:uiPriority w:val="99"/>
    <w:tblPr/>
  </w:style>
  <w:style w:type="table" w:styleId="-40">
    <w:name w:val="List Table 4"/>
    <w:basedOn w:val="a3"/>
    <w:uiPriority w:val="99"/>
    <w:tblPr/>
  </w:style>
  <w:style w:type="table" w:styleId="-50">
    <w:name w:val="List Table 5 Dark"/>
    <w:basedOn w:val="a3"/>
    <w:uiPriority w:val="99"/>
    <w:tblPr/>
  </w:style>
  <w:style w:type="table" w:styleId="-60">
    <w:name w:val="List Table 6 Colorful"/>
    <w:basedOn w:val="a3"/>
    <w:uiPriority w:val="99"/>
    <w:tblPr/>
  </w:style>
  <w:style w:type="table" w:styleId="-70">
    <w:name w:val="List Table 7 Colorful"/>
    <w:basedOn w:val="a3"/>
    <w:uiPriority w:val="99"/>
    <w:tblPr/>
  </w:style>
  <w:style w:type="character" w:styleId="af0">
    <w:name w:val="Hyperlink"/>
    <w:uiPriority w:val="99"/>
    <w:rPr>
      <w:color w:val="0563c1"/>
      <w:u w:val="single"/>
    </w:rPr>
  </w:style>
  <w:style w:type="paragraph" w:styleId="af1">
    <w:name w:val="footnote text"/>
    <w:basedOn w:val="a1"/>
    <w:link w:val="25"/>
    <w:uiPriority w:val="99"/>
    <w:qFormat/>
    <w:pPr>
      <w:spacing w:after="0"/>
      <w:ind w:firstLine="567"/>
      <w:jc w:val="both"/>
    </w:pPr>
    <w:rPr>
      <w:rFonts w:eastAsia="Arial Unicode MS" w:cs="Times New Roman"/>
      <w:sz w:val="20"/>
      <w:szCs w:val="20"/>
      <w:lang w:val="en-US" w:bidi="en-US"/>
    </w:rPr>
  </w:style>
  <w:style w:type="character" w:styleId="af2">
    <w:name w:val="footnote reference"/>
    <w:uiPriority w:val="99"/>
    <w:qFormat/>
    <w:rPr>
      <w:position w:val="0"/>
      <w:vertAlign w:val="superscript"/>
    </w:rPr>
  </w:style>
  <w:style w:type="paragraph" w:styleId="af3">
    <w:name w:val="endnote text"/>
    <w:basedOn w:val="a1"/>
    <w:link w:val="17"/>
    <w:pPr>
      <w:spacing w:after="0"/>
    </w:pPr>
    <w:rPr>
      <w:sz w:val="20"/>
      <w:szCs w:val="20"/>
    </w:rPr>
  </w:style>
  <w:style w:type="character" w:styleId="af4">
    <w:name w:val="endnote reference"/>
    <w:rPr>
      <w:position w:val="0"/>
      <w:vertAlign w:val="superscript"/>
    </w:rPr>
  </w:style>
  <w:style w:type="paragraph" w:styleId="18">
    <w:name w:val="toc 1"/>
    <w:basedOn w:val="a1"/>
    <w:next w:val="a1"/>
    <w:uiPriority w:val="39"/>
    <w:pPr>
      <w:tabs>
        <w:tab w:val="left" w:pos="567"/>
        <w:tab w:val="right" w:pos="9339" w:leader="dot"/>
      </w:tabs>
      <w:spacing w:after="0"/>
    </w:pPr>
    <w:rPr>
      <w:szCs w:val="24"/>
    </w:rPr>
  </w:style>
  <w:style w:type="paragraph" w:styleId="26">
    <w:name w:val="toc 2"/>
    <w:basedOn w:val="a1"/>
    <w:next w:val="a1"/>
    <w:uiPriority w:val="39"/>
    <w:pPr>
      <w:spacing w:after="0"/>
      <w:ind w:left="221"/>
    </w:pPr>
    <w:rPr>
      <w:szCs w:val="24"/>
    </w:rPr>
  </w:style>
  <w:style w:type="paragraph" w:styleId="32">
    <w:name w:val="toc 3"/>
    <w:basedOn w:val="a1"/>
    <w:next w:val="a1"/>
    <w:uiPriority w:val="39"/>
    <w:pPr>
      <w:spacing w:after="0"/>
      <w:ind w:left="442"/>
    </w:pPr>
    <w:rPr>
      <w:szCs w:val="24"/>
    </w:rPr>
  </w:style>
  <w:style w:type="paragraph" w:styleId="43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0">
    <w:name w:val="toc 6"/>
    <w:basedOn w:val="a1"/>
    <w:next w:val="a1"/>
    <w:pPr>
      <w:spacing w:after="100"/>
      <w:ind w:left="1200"/>
    </w:pPr>
    <w:rPr>
      <w:szCs w:val="24"/>
    </w:rPr>
  </w:style>
  <w:style w:type="paragraph" w:styleId="70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0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0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5">
    <w:name w:val="TOC Heading"/>
    <w:basedOn w:val="10"/>
    <w:next w:val="a1"/>
    <w:pPr>
      <w:keepLines/>
      <w:pageBreakBefore w:val="0"/>
      <w:spacing w:after="0" w:line="240" w:lineRule="auto"/>
    </w:pPr>
    <w:rPr>
      <w:rFonts w:ascii="Calibri Light" w:hAnsi="Calibri Light"/>
      <w:b w:val="0"/>
      <w:bCs w:val="0"/>
      <w:color w:val="2f5496"/>
      <w:lang w:eastAsia="ru-RU" w:bidi="ar-SA"/>
    </w:rPr>
  </w:style>
  <w:style w:type="paragraph" w:styleId="af6">
    <w:name w:val="table of figures"/>
    <w:basedOn w:val="a1"/>
    <w:next w:val="a1"/>
    <w:uiPriority w:val="99"/>
    <w:unhideWhenUsed/>
    <w:pPr>
      <w:spacing w:after="0"/>
    </w:pPr>
  </w:style>
  <w:style w:type="character" w:styleId="CaptionChar" w:customStyle="1">
    <w:name w:val="Caption Char"/>
    <w:uiPriority w:val="35"/>
    <w:rPr>
      <w:b/>
      <w:bCs/>
      <w:color w:val="5b9bd5"/>
      <w:sz w:val="18"/>
      <w:szCs w:val="18"/>
    </w:rPr>
  </w:style>
  <w:style w:type="character" w:styleId="Heading1Char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rPr>
      <w:sz w:val="48"/>
      <w:szCs w:val="48"/>
    </w:rPr>
  </w:style>
  <w:style w:type="character" w:styleId="SubtitleChar" w:customStyle="1">
    <w:name w:val="Subtitle Char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2"/>
    <w:uiPriority w:val="99"/>
  </w:style>
  <w:style w:type="character" w:styleId="15" w:customStyle="1">
    <w:name w:val="Название объекта Знак1"/>
    <w:link w:val="ae"/>
    <w:uiPriority w:val="35"/>
    <w:rPr>
      <w:b/>
      <w:bCs/>
      <w:color w:val="5b9bd5"/>
      <w:sz w:val="18"/>
      <w:szCs w:val="18"/>
    </w:rPr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11" w:customStyle="1">
    <w:name w:val="Заголовок 1 Знак1"/>
    <w:link w:val="10"/>
    <w:uiPriority w:val="9"/>
    <w:rPr>
      <w:rFonts w:ascii="Arial" w:hAnsi="Arial" w:eastAsia="Arial" w:cs="Arial"/>
      <w:sz w:val="40"/>
      <w:szCs w:val="40"/>
    </w:rPr>
  </w:style>
  <w:style w:type="character" w:styleId="23" w:customStyle="1">
    <w:name w:val="Заголовок 2 Знак3"/>
    <w:link w:val="20"/>
    <w:uiPriority w:val="9"/>
    <w:rPr>
      <w:rFonts w:ascii="Arial" w:hAnsi="Arial" w:eastAsia="Arial" w:cs="Arial"/>
      <w:sz w:val="34"/>
    </w:rPr>
  </w:style>
  <w:style w:type="character" w:styleId="31" w:customStyle="1">
    <w:name w:val="Заголовок 3 Знак1"/>
    <w:link w:val="3"/>
    <w:uiPriority w:val="9"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1"/>
    <w:link w:val="40"/>
    <w:uiPriority w:val="9"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1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2" w:customStyle="1">
    <w:name w:val="Заголовок 6 Знак2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1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1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1"/>
    <w:link w:val="9"/>
    <w:uiPriority w:val="9"/>
    <w:rPr>
      <w:rFonts w:ascii="Arial" w:hAnsi="Arial" w:eastAsia="Arial" w:cs="Arial"/>
      <w:i/>
      <w:iCs/>
      <w:sz w:val="21"/>
      <w:szCs w:val="21"/>
    </w:rPr>
  </w:style>
  <w:style w:type="character" w:styleId="12" w:customStyle="1">
    <w:name w:val="Заголовок Знак1"/>
    <w:link w:val="a7"/>
    <w:uiPriority w:val="10"/>
    <w:rPr>
      <w:sz w:val="48"/>
      <w:szCs w:val="48"/>
    </w:rPr>
  </w:style>
  <w:style w:type="character" w:styleId="a9" w:customStyle="1">
    <w:name w:val="Подзаголовок Знак"/>
    <w:link w:val="a8"/>
    <w:uiPriority w:val="11"/>
    <w:rPr>
      <w:sz w:val="24"/>
      <w:szCs w:val="24"/>
    </w:rPr>
  </w:style>
  <w:style w:type="character" w:styleId="22" w:customStyle="1">
    <w:name w:val="Цитата 2 Знак"/>
    <w:link w:val="21"/>
    <w:uiPriority w:val="29"/>
    <w:rPr>
      <w:i/>
    </w:rPr>
  </w:style>
  <w:style w:type="character" w:styleId="ab" w:customStyle="1">
    <w:name w:val="Выделенная цитата Знак"/>
    <w:link w:val="aa"/>
    <w:uiPriority w:val="30"/>
    <w:rPr>
      <w:i/>
    </w:rPr>
  </w:style>
  <w:style w:type="character" w:styleId="13" w:customStyle="1">
    <w:name w:val="Верхний колонтитул Знак1"/>
    <w:basedOn w:val="a2"/>
    <w:link w:val="ac"/>
    <w:uiPriority w:val="99"/>
  </w:style>
  <w:style w:type="character" w:styleId="FooterChar" w:customStyle="1">
    <w:name w:val="Footer Char"/>
    <w:basedOn w:val="a2"/>
    <w:uiPriority w:val="99"/>
  </w:style>
  <w:style w:type="character" w:styleId="14" w:customStyle="1">
    <w:name w:val="Нижний колонтитул Знак1"/>
    <w:link w:val="ad"/>
    <w:uiPriority w:val="99"/>
  </w:style>
  <w:style w:type="table" w:styleId="TableGridLight" w:customStyle="1">
    <w:name w:val="Table Grid Light"/>
    <w:basedOn w:val="a3"/>
    <w:uiPriority w:val="59"/>
    <w:tblPr/>
  </w:style>
  <w:style w:type="table" w:styleId="GridTable1Light-Accent1" w:customStyle="1">
    <w:name w:val="Grid Table 1 Light - Accent 1"/>
    <w:basedOn w:val="a3"/>
    <w:uiPriority w:val="99"/>
    <w:tblPr/>
  </w:style>
  <w:style w:type="table" w:styleId="GridTable1Light-Accent2" w:customStyle="1">
    <w:name w:val="Grid Table 1 Light - Accent 2"/>
    <w:basedOn w:val="a3"/>
    <w:uiPriority w:val="99"/>
    <w:tblPr/>
  </w:style>
  <w:style w:type="table" w:styleId="GridTable1Light-Accent3" w:customStyle="1">
    <w:name w:val="Grid Table 1 Light - Accent 3"/>
    <w:basedOn w:val="a3"/>
    <w:uiPriority w:val="99"/>
    <w:tblPr/>
  </w:style>
  <w:style w:type="table" w:styleId="GridTable1Light-Accent4" w:customStyle="1">
    <w:name w:val="Grid Table 1 Light - Accent 4"/>
    <w:basedOn w:val="a3"/>
    <w:uiPriority w:val="99"/>
    <w:tblPr/>
  </w:style>
  <w:style w:type="table" w:styleId="GridTable1Light-Accent5" w:customStyle="1">
    <w:name w:val="Grid Table 1 Light - Accent 5"/>
    <w:basedOn w:val="a3"/>
    <w:uiPriority w:val="99"/>
    <w:tblPr/>
  </w:style>
  <w:style w:type="table" w:styleId="GridTable1Light-Accent6" w:customStyle="1">
    <w:name w:val="Grid Table 1 Light - Accent 6"/>
    <w:basedOn w:val="a3"/>
    <w:uiPriority w:val="99"/>
    <w:tblPr/>
  </w:style>
  <w:style w:type="table" w:styleId="GridTable2-Accent1" w:customStyle="1">
    <w:name w:val="Grid Table 2 - Accent 1"/>
    <w:basedOn w:val="a3"/>
    <w:uiPriority w:val="99"/>
    <w:tblPr/>
  </w:style>
  <w:style w:type="table" w:styleId="GridTable2-Accent2" w:customStyle="1">
    <w:name w:val="Grid Table 2 - Accent 2"/>
    <w:basedOn w:val="a3"/>
    <w:uiPriority w:val="99"/>
    <w:tblPr/>
  </w:style>
  <w:style w:type="table" w:styleId="GridTable2-Accent3" w:customStyle="1">
    <w:name w:val="Grid Table 2 - Accent 3"/>
    <w:basedOn w:val="a3"/>
    <w:uiPriority w:val="99"/>
    <w:tblPr/>
  </w:style>
  <w:style w:type="table" w:styleId="GridTable2-Accent4" w:customStyle="1">
    <w:name w:val="Grid Table 2 - Accent 4"/>
    <w:basedOn w:val="a3"/>
    <w:uiPriority w:val="99"/>
    <w:tblPr/>
  </w:style>
  <w:style w:type="table" w:styleId="GridTable2-Accent5" w:customStyle="1">
    <w:name w:val="Grid Table 2 - Accent 5"/>
    <w:basedOn w:val="a3"/>
    <w:uiPriority w:val="99"/>
    <w:tblPr/>
  </w:style>
  <w:style w:type="table" w:styleId="GridTable2-Accent6" w:customStyle="1">
    <w:name w:val="Grid Table 2 - Accent 6"/>
    <w:basedOn w:val="a3"/>
    <w:uiPriority w:val="99"/>
    <w:tblPr/>
  </w:style>
  <w:style w:type="table" w:styleId="GridTable3-Accent1" w:customStyle="1">
    <w:name w:val="Grid Table 3 - Accent 1"/>
    <w:basedOn w:val="a3"/>
    <w:uiPriority w:val="99"/>
    <w:tblPr/>
  </w:style>
  <w:style w:type="table" w:styleId="GridTable3-Accent2" w:customStyle="1">
    <w:name w:val="Grid Table 3 - Accent 2"/>
    <w:basedOn w:val="a3"/>
    <w:uiPriority w:val="99"/>
    <w:tblPr/>
  </w:style>
  <w:style w:type="table" w:styleId="GridTable3-Accent3" w:customStyle="1">
    <w:name w:val="Grid Table 3 - Accent 3"/>
    <w:basedOn w:val="a3"/>
    <w:uiPriority w:val="99"/>
    <w:tblPr/>
  </w:style>
  <w:style w:type="table" w:styleId="GridTable3-Accent4" w:customStyle="1">
    <w:name w:val="Grid Table 3 - Accent 4"/>
    <w:basedOn w:val="a3"/>
    <w:uiPriority w:val="99"/>
    <w:tblPr/>
  </w:style>
  <w:style w:type="table" w:styleId="GridTable3-Accent5" w:customStyle="1">
    <w:name w:val="Grid Table 3 - Accent 5"/>
    <w:basedOn w:val="a3"/>
    <w:uiPriority w:val="99"/>
    <w:tblPr/>
  </w:style>
  <w:style w:type="table" w:styleId="GridTable3-Accent6" w:customStyle="1">
    <w:name w:val="Grid Table 3 - Accent 6"/>
    <w:basedOn w:val="a3"/>
    <w:uiPriority w:val="99"/>
    <w:tblPr/>
  </w:style>
  <w:style w:type="table" w:styleId="GridTable4-Accent1" w:customStyle="1">
    <w:name w:val="Grid Table 4 - Accent 1"/>
    <w:basedOn w:val="a3"/>
    <w:uiPriority w:val="59"/>
    <w:tblPr/>
  </w:style>
  <w:style w:type="table" w:styleId="GridTable4-Accent2" w:customStyle="1">
    <w:name w:val="Grid Table 4 - Accent 2"/>
    <w:basedOn w:val="a3"/>
    <w:uiPriority w:val="59"/>
    <w:tblPr/>
  </w:style>
  <w:style w:type="table" w:styleId="GridTable4-Accent3" w:customStyle="1">
    <w:name w:val="Grid Table 4 - Accent 3"/>
    <w:basedOn w:val="a3"/>
    <w:uiPriority w:val="59"/>
    <w:tblPr/>
  </w:style>
  <w:style w:type="table" w:styleId="GridTable4-Accent4" w:customStyle="1">
    <w:name w:val="Grid Table 4 - Accent 4"/>
    <w:basedOn w:val="a3"/>
    <w:uiPriority w:val="59"/>
    <w:tblPr/>
  </w:style>
  <w:style w:type="table" w:styleId="GridTable4-Accent5" w:customStyle="1">
    <w:name w:val="Grid Table 4 - Accent 5"/>
    <w:basedOn w:val="a3"/>
    <w:uiPriority w:val="59"/>
    <w:tblPr/>
  </w:style>
  <w:style w:type="table" w:styleId="GridTable4-Accent6" w:customStyle="1">
    <w:name w:val="Grid Table 4 - Accent 6"/>
    <w:basedOn w:val="a3"/>
    <w:uiPriority w:val="59"/>
    <w:tblPr/>
  </w:style>
  <w:style w:type="table" w:styleId="GridTable5Dark-Accent1" w:customStyle="1">
    <w:name w:val="Grid Table 5 Dark- Accent 1"/>
    <w:basedOn w:val="a3"/>
    <w:uiPriority w:val="99"/>
    <w:tblPr/>
  </w:style>
  <w:style w:type="table" w:styleId="GridTable5Dark-Accent2" w:customStyle="1">
    <w:name w:val="Grid Table 5 Dark - Accent 2"/>
    <w:basedOn w:val="a3"/>
    <w:uiPriority w:val="99"/>
    <w:tblPr/>
  </w:style>
  <w:style w:type="table" w:styleId="GridTable5Dark-Accent3" w:customStyle="1">
    <w:name w:val="Grid Table 5 Dark - Accent 3"/>
    <w:basedOn w:val="a3"/>
    <w:uiPriority w:val="99"/>
    <w:tblPr/>
  </w:style>
  <w:style w:type="table" w:styleId="GridTable5Dark-Accent4" w:customStyle="1">
    <w:name w:val="Grid Table 5 Dark- Accent 4"/>
    <w:basedOn w:val="a3"/>
    <w:uiPriority w:val="99"/>
    <w:tblPr/>
  </w:style>
  <w:style w:type="table" w:styleId="GridTable5Dark-Accent5" w:customStyle="1">
    <w:name w:val="Grid Table 5 Dark - Accent 5"/>
    <w:basedOn w:val="a3"/>
    <w:uiPriority w:val="99"/>
    <w:tblPr/>
  </w:style>
  <w:style w:type="table" w:styleId="GridTable5Dark-Accent6" w:customStyle="1">
    <w:name w:val="Grid Table 5 Dark - Accent 6"/>
    <w:basedOn w:val="a3"/>
    <w:uiPriority w:val="99"/>
    <w:tblPr/>
  </w:style>
  <w:style w:type="table" w:styleId="GridTable6Colorful-Accent1" w:customStyle="1">
    <w:name w:val="Grid Table 6 Colorful - Accent 1"/>
    <w:basedOn w:val="a3"/>
    <w:uiPriority w:val="99"/>
    <w:tblPr/>
  </w:style>
  <w:style w:type="table" w:styleId="GridTable6Colorful-Accent2" w:customStyle="1">
    <w:name w:val="Grid Table 6 Colorful - Accent 2"/>
    <w:basedOn w:val="a3"/>
    <w:uiPriority w:val="99"/>
    <w:tblPr/>
  </w:style>
  <w:style w:type="table" w:styleId="GridTable6Colorful-Accent3" w:customStyle="1">
    <w:name w:val="Grid Table 6 Colorful - Accent 3"/>
    <w:basedOn w:val="a3"/>
    <w:uiPriority w:val="99"/>
    <w:tblPr/>
  </w:style>
  <w:style w:type="table" w:styleId="GridTable6Colorful-Accent4" w:customStyle="1">
    <w:name w:val="Grid Table 6 Colorful - Accent 4"/>
    <w:basedOn w:val="a3"/>
    <w:uiPriority w:val="99"/>
    <w:tblPr/>
  </w:style>
  <w:style w:type="table" w:styleId="GridTable6Colorful-Accent5" w:customStyle="1">
    <w:name w:val="Grid Table 6 Colorful - Accent 5"/>
    <w:basedOn w:val="a3"/>
    <w:uiPriority w:val="99"/>
    <w:tblPr/>
  </w:style>
  <w:style w:type="table" w:styleId="GridTable6Colorful-Accent6" w:customStyle="1">
    <w:name w:val="Grid Table 6 Colorful - Accent 6"/>
    <w:basedOn w:val="a3"/>
    <w:uiPriority w:val="99"/>
    <w:tblPr/>
  </w:style>
  <w:style w:type="table" w:styleId="GridTable7Colorful-Accent1" w:customStyle="1">
    <w:name w:val="Grid Table 7 Colorful - Accent 1"/>
    <w:basedOn w:val="a3"/>
    <w:uiPriority w:val="99"/>
    <w:tblPr/>
  </w:style>
  <w:style w:type="table" w:styleId="GridTable7Colorful-Accent2" w:customStyle="1">
    <w:name w:val="Grid Table 7 Colorful - Accent 2"/>
    <w:basedOn w:val="a3"/>
    <w:uiPriority w:val="99"/>
    <w:tblPr/>
  </w:style>
  <w:style w:type="table" w:styleId="GridTable7Colorful-Accent3" w:customStyle="1">
    <w:name w:val="Grid Table 7 Colorful - Accent 3"/>
    <w:basedOn w:val="a3"/>
    <w:uiPriority w:val="99"/>
    <w:tblPr/>
  </w:style>
  <w:style w:type="table" w:styleId="GridTable7Colorful-Accent4" w:customStyle="1">
    <w:name w:val="Grid Table 7 Colorful - Accent 4"/>
    <w:basedOn w:val="a3"/>
    <w:uiPriority w:val="99"/>
    <w:tblPr/>
  </w:style>
  <w:style w:type="table" w:styleId="GridTable7Colorful-Accent5" w:customStyle="1">
    <w:name w:val="Grid Table 7 Colorful - Accent 5"/>
    <w:basedOn w:val="a3"/>
    <w:uiPriority w:val="99"/>
    <w:tblPr/>
  </w:style>
  <w:style w:type="table" w:styleId="GridTable7Colorful-Accent6" w:customStyle="1">
    <w:name w:val="Grid Table 7 Colorful - Accent 6"/>
    <w:basedOn w:val="a3"/>
    <w:uiPriority w:val="99"/>
    <w:tblPr/>
  </w:style>
  <w:style w:type="table" w:styleId="ListTable1Light-Accent1" w:customStyle="1">
    <w:name w:val="List Table 1 Light - Accent 1"/>
    <w:basedOn w:val="a3"/>
    <w:uiPriority w:val="99"/>
    <w:tblPr/>
  </w:style>
  <w:style w:type="table" w:styleId="ListTable1Light-Accent2" w:customStyle="1">
    <w:name w:val="List Table 1 Light - Accent 2"/>
    <w:basedOn w:val="a3"/>
    <w:uiPriority w:val="99"/>
    <w:tblPr/>
  </w:style>
  <w:style w:type="table" w:styleId="ListTable1Light-Accent3" w:customStyle="1">
    <w:name w:val="List Table 1 Light - Accent 3"/>
    <w:basedOn w:val="a3"/>
    <w:uiPriority w:val="99"/>
    <w:tblPr/>
  </w:style>
  <w:style w:type="table" w:styleId="ListTable1Light-Accent4" w:customStyle="1">
    <w:name w:val="List Table 1 Light - Accent 4"/>
    <w:basedOn w:val="a3"/>
    <w:uiPriority w:val="99"/>
    <w:tblPr/>
  </w:style>
  <w:style w:type="table" w:styleId="ListTable1Light-Accent5" w:customStyle="1">
    <w:name w:val="List Table 1 Light - Accent 5"/>
    <w:basedOn w:val="a3"/>
    <w:uiPriority w:val="99"/>
    <w:tblPr/>
  </w:style>
  <w:style w:type="table" w:styleId="ListTable1Light-Accent6" w:customStyle="1">
    <w:name w:val="List Table 1 Light - Accent 6"/>
    <w:basedOn w:val="a3"/>
    <w:uiPriority w:val="99"/>
    <w:tblPr/>
  </w:style>
  <w:style w:type="table" w:styleId="ListTable2-Accent1" w:customStyle="1">
    <w:name w:val="List Table 2 - Accent 1"/>
    <w:basedOn w:val="a3"/>
    <w:uiPriority w:val="99"/>
    <w:tblPr/>
  </w:style>
  <w:style w:type="table" w:styleId="ListTable2-Accent2" w:customStyle="1">
    <w:name w:val="List Table 2 - Accent 2"/>
    <w:basedOn w:val="a3"/>
    <w:uiPriority w:val="99"/>
    <w:tblPr/>
  </w:style>
  <w:style w:type="table" w:styleId="ListTable2-Accent3" w:customStyle="1">
    <w:name w:val="List Table 2 - Accent 3"/>
    <w:basedOn w:val="a3"/>
    <w:uiPriority w:val="99"/>
    <w:tblPr/>
  </w:style>
  <w:style w:type="table" w:styleId="ListTable2-Accent4" w:customStyle="1">
    <w:name w:val="List Table 2 - Accent 4"/>
    <w:basedOn w:val="a3"/>
    <w:uiPriority w:val="99"/>
    <w:tblPr/>
  </w:style>
  <w:style w:type="table" w:styleId="ListTable2-Accent5" w:customStyle="1">
    <w:name w:val="List Table 2 - Accent 5"/>
    <w:basedOn w:val="a3"/>
    <w:uiPriority w:val="99"/>
    <w:tblPr/>
  </w:style>
  <w:style w:type="table" w:styleId="ListTable2-Accent6" w:customStyle="1">
    <w:name w:val="List Table 2 - Accent 6"/>
    <w:basedOn w:val="a3"/>
    <w:uiPriority w:val="99"/>
    <w:tblPr/>
  </w:style>
  <w:style w:type="table" w:styleId="ListTable3-Accent1" w:customStyle="1">
    <w:name w:val="List Table 3 - Accent 1"/>
    <w:basedOn w:val="a3"/>
    <w:uiPriority w:val="99"/>
    <w:tblPr/>
  </w:style>
  <w:style w:type="table" w:styleId="ListTable3-Accent2" w:customStyle="1">
    <w:name w:val="List Table 3 - Accent 2"/>
    <w:basedOn w:val="a3"/>
    <w:uiPriority w:val="99"/>
    <w:tblPr/>
  </w:style>
  <w:style w:type="table" w:styleId="ListTable3-Accent3" w:customStyle="1">
    <w:name w:val="List Table 3 - Accent 3"/>
    <w:basedOn w:val="a3"/>
    <w:uiPriority w:val="99"/>
    <w:tblPr/>
  </w:style>
  <w:style w:type="table" w:styleId="ListTable3-Accent4" w:customStyle="1">
    <w:name w:val="List Table 3 - Accent 4"/>
    <w:basedOn w:val="a3"/>
    <w:uiPriority w:val="99"/>
    <w:tblPr/>
  </w:style>
  <w:style w:type="table" w:styleId="ListTable3-Accent5" w:customStyle="1">
    <w:name w:val="List Table 3 - Accent 5"/>
    <w:basedOn w:val="a3"/>
    <w:uiPriority w:val="99"/>
    <w:tblPr/>
  </w:style>
  <w:style w:type="table" w:styleId="ListTable3-Accent6" w:customStyle="1">
    <w:name w:val="List Table 3 - Accent 6"/>
    <w:basedOn w:val="a3"/>
    <w:uiPriority w:val="99"/>
    <w:tblPr/>
  </w:style>
  <w:style w:type="table" w:styleId="ListTable4-Accent1" w:customStyle="1">
    <w:name w:val="List Table 4 - Accent 1"/>
    <w:basedOn w:val="a3"/>
    <w:uiPriority w:val="99"/>
    <w:tblPr/>
  </w:style>
  <w:style w:type="table" w:styleId="ListTable4-Accent2" w:customStyle="1">
    <w:name w:val="List Table 4 - Accent 2"/>
    <w:basedOn w:val="a3"/>
    <w:uiPriority w:val="99"/>
    <w:tblPr/>
  </w:style>
  <w:style w:type="table" w:styleId="ListTable4-Accent3" w:customStyle="1">
    <w:name w:val="List Table 4 - Accent 3"/>
    <w:basedOn w:val="a3"/>
    <w:uiPriority w:val="99"/>
    <w:tblPr/>
  </w:style>
  <w:style w:type="table" w:styleId="ListTable4-Accent4" w:customStyle="1">
    <w:name w:val="List Table 4 - Accent 4"/>
    <w:basedOn w:val="a3"/>
    <w:uiPriority w:val="99"/>
    <w:tblPr/>
  </w:style>
  <w:style w:type="table" w:styleId="ListTable4-Accent5" w:customStyle="1">
    <w:name w:val="List Table 4 - Accent 5"/>
    <w:basedOn w:val="a3"/>
    <w:uiPriority w:val="99"/>
    <w:tblPr/>
  </w:style>
  <w:style w:type="table" w:styleId="ListTable4-Accent6" w:customStyle="1">
    <w:name w:val="List Table 4 - Accent 6"/>
    <w:basedOn w:val="a3"/>
    <w:uiPriority w:val="99"/>
    <w:tblPr/>
  </w:style>
  <w:style w:type="table" w:styleId="ListTable5Dark-Accent1" w:customStyle="1">
    <w:name w:val="List Table 5 Dark - Accent 1"/>
    <w:basedOn w:val="a3"/>
    <w:uiPriority w:val="99"/>
    <w:tblPr/>
  </w:style>
  <w:style w:type="table" w:styleId="ListTable5Dark-Accent2" w:customStyle="1">
    <w:name w:val="List Table 5 Dark - Accent 2"/>
    <w:basedOn w:val="a3"/>
    <w:uiPriority w:val="99"/>
    <w:tblPr/>
  </w:style>
  <w:style w:type="table" w:styleId="ListTable5Dark-Accent3" w:customStyle="1">
    <w:name w:val="List Table 5 Dark - Accent 3"/>
    <w:basedOn w:val="a3"/>
    <w:uiPriority w:val="99"/>
    <w:tblPr/>
  </w:style>
  <w:style w:type="table" w:styleId="ListTable5Dark-Accent4" w:customStyle="1">
    <w:name w:val="List Table 5 Dark - Accent 4"/>
    <w:basedOn w:val="a3"/>
    <w:uiPriority w:val="99"/>
    <w:tblPr/>
  </w:style>
  <w:style w:type="table" w:styleId="ListTable5Dark-Accent5" w:customStyle="1">
    <w:name w:val="List Table 5 Dark - Accent 5"/>
    <w:basedOn w:val="a3"/>
    <w:uiPriority w:val="99"/>
    <w:tblPr/>
  </w:style>
  <w:style w:type="table" w:styleId="ListTable5Dark-Accent6" w:customStyle="1">
    <w:name w:val="List Table 5 Dark - Accent 6"/>
    <w:basedOn w:val="a3"/>
    <w:uiPriority w:val="99"/>
    <w:tblPr/>
  </w:style>
  <w:style w:type="table" w:styleId="ListTable6Colorful-Accent1" w:customStyle="1">
    <w:name w:val="List Table 6 Colorful - Accent 1"/>
    <w:basedOn w:val="a3"/>
    <w:uiPriority w:val="99"/>
    <w:tblPr/>
  </w:style>
  <w:style w:type="table" w:styleId="ListTable6Colorful-Accent2" w:customStyle="1">
    <w:name w:val="List Table 6 Colorful - Accent 2"/>
    <w:basedOn w:val="a3"/>
    <w:uiPriority w:val="99"/>
    <w:tblPr/>
  </w:style>
  <w:style w:type="table" w:styleId="ListTable6Colorful-Accent3" w:customStyle="1">
    <w:name w:val="List Table 6 Colorful - Accent 3"/>
    <w:basedOn w:val="a3"/>
    <w:uiPriority w:val="99"/>
    <w:tblPr/>
  </w:style>
  <w:style w:type="table" w:styleId="ListTable6Colorful-Accent4" w:customStyle="1">
    <w:name w:val="List Table 6 Colorful - Accent 4"/>
    <w:basedOn w:val="a3"/>
    <w:uiPriority w:val="99"/>
    <w:tblPr/>
  </w:style>
  <w:style w:type="table" w:styleId="ListTable6Colorful-Accent5" w:customStyle="1">
    <w:name w:val="List Table 6 Colorful - Accent 5"/>
    <w:basedOn w:val="a3"/>
    <w:uiPriority w:val="99"/>
    <w:tblPr/>
  </w:style>
  <w:style w:type="table" w:styleId="ListTable6Colorful-Accent6" w:customStyle="1">
    <w:name w:val="List Table 6 Colorful - Accent 6"/>
    <w:basedOn w:val="a3"/>
    <w:uiPriority w:val="99"/>
    <w:tblPr/>
  </w:style>
  <w:style w:type="table" w:styleId="ListTable7Colorful-Accent1" w:customStyle="1">
    <w:name w:val="List Table 7 Colorful - Accent 1"/>
    <w:basedOn w:val="a3"/>
    <w:uiPriority w:val="99"/>
    <w:tblPr/>
  </w:style>
  <w:style w:type="table" w:styleId="ListTable7Colorful-Accent2" w:customStyle="1">
    <w:name w:val="List Table 7 Colorful - Accent 2"/>
    <w:basedOn w:val="a3"/>
    <w:uiPriority w:val="99"/>
    <w:tblPr/>
  </w:style>
  <w:style w:type="table" w:styleId="ListTable7Colorful-Accent3" w:customStyle="1">
    <w:name w:val="List Table 7 Colorful - Accent 3"/>
    <w:basedOn w:val="a3"/>
    <w:uiPriority w:val="99"/>
    <w:tblPr/>
  </w:style>
  <w:style w:type="table" w:styleId="ListTable7Colorful-Accent4" w:customStyle="1">
    <w:name w:val="List Table 7 Colorful - Accent 4"/>
    <w:basedOn w:val="a3"/>
    <w:uiPriority w:val="99"/>
    <w:tblPr/>
  </w:style>
  <w:style w:type="table" w:styleId="ListTable7Colorful-Accent5" w:customStyle="1">
    <w:name w:val="List Table 7 Colorful - Accent 5"/>
    <w:basedOn w:val="a3"/>
    <w:uiPriority w:val="99"/>
    <w:tblPr/>
  </w:style>
  <w:style w:type="table" w:styleId="ListTable7Colorful-Accent6" w:customStyle="1">
    <w:name w:val="List Table 7 Colorful - Accent 6"/>
    <w:basedOn w:val="a3"/>
    <w:uiPriority w:val="99"/>
    <w:tblPr/>
  </w:style>
  <w:style w:type="table" w:styleId="Lined-Accent" w:customStyle="1">
    <w:name w:val="Lined - Accent"/>
    <w:basedOn w:val="a3"/>
    <w:uiPriority w:val="99"/>
    <w:rPr>
      <w:color w:val="404040"/>
    </w:rPr>
    <w:tblPr/>
  </w:style>
  <w:style w:type="table" w:styleId="Lined-Accent1" w:customStyle="1">
    <w:name w:val="Lined - Accent 1"/>
    <w:basedOn w:val="a3"/>
    <w:uiPriority w:val="99"/>
    <w:rPr>
      <w:color w:val="404040"/>
    </w:rPr>
    <w:tblPr/>
  </w:style>
  <w:style w:type="table" w:styleId="Lined-Accent2" w:customStyle="1">
    <w:name w:val="Lined - Accent 2"/>
    <w:basedOn w:val="a3"/>
    <w:uiPriority w:val="99"/>
    <w:rPr>
      <w:color w:val="404040"/>
    </w:rPr>
    <w:tblPr/>
  </w:style>
  <w:style w:type="table" w:styleId="Lined-Accent3" w:customStyle="1">
    <w:name w:val="Lined - Accent 3"/>
    <w:basedOn w:val="a3"/>
    <w:uiPriority w:val="99"/>
    <w:rPr>
      <w:color w:val="404040"/>
    </w:rPr>
    <w:tblPr/>
  </w:style>
  <w:style w:type="table" w:styleId="Lined-Accent4" w:customStyle="1">
    <w:name w:val="Lined - Accent 4"/>
    <w:basedOn w:val="a3"/>
    <w:uiPriority w:val="99"/>
    <w:rPr>
      <w:color w:val="404040"/>
    </w:rPr>
    <w:tblPr/>
  </w:style>
  <w:style w:type="table" w:styleId="Lined-Accent5" w:customStyle="1">
    <w:name w:val="Lined - Accent 5"/>
    <w:basedOn w:val="a3"/>
    <w:uiPriority w:val="99"/>
    <w:rPr>
      <w:color w:val="404040"/>
    </w:rPr>
    <w:tblPr/>
  </w:style>
  <w:style w:type="table" w:styleId="Lined-Accent6" w:customStyle="1">
    <w:name w:val="Lined - Accent 6"/>
    <w:basedOn w:val="a3"/>
    <w:uiPriority w:val="99"/>
    <w:rPr>
      <w:color w:val="404040"/>
    </w:rPr>
    <w:tblPr/>
  </w:style>
  <w:style w:type="table" w:styleId="BorderedLined-Accent" w:customStyle="1">
    <w:name w:val="Bordered &amp; Lined - Accent"/>
    <w:basedOn w:val="a3"/>
    <w:uiPriority w:val="99"/>
    <w:rPr>
      <w:color w:val="404040"/>
    </w:rPr>
    <w:tblPr/>
  </w:style>
  <w:style w:type="table" w:styleId="BorderedLined-Accent1" w:customStyle="1">
    <w:name w:val="Bordered &amp; Lined - Accent 1"/>
    <w:basedOn w:val="a3"/>
    <w:uiPriority w:val="99"/>
    <w:rPr>
      <w:color w:val="404040"/>
    </w:rPr>
    <w:tblPr/>
  </w:style>
  <w:style w:type="table" w:styleId="BorderedLined-Accent2" w:customStyle="1">
    <w:name w:val="Bordered &amp; Lined - Accent 2"/>
    <w:basedOn w:val="a3"/>
    <w:uiPriority w:val="99"/>
    <w:rPr>
      <w:color w:val="404040"/>
    </w:rPr>
    <w:tblPr/>
  </w:style>
  <w:style w:type="table" w:styleId="BorderedLined-Accent3" w:customStyle="1">
    <w:name w:val="Bordered &amp; Lined - Accent 3"/>
    <w:basedOn w:val="a3"/>
    <w:uiPriority w:val="99"/>
    <w:rPr>
      <w:color w:val="404040"/>
    </w:rPr>
    <w:tblPr/>
  </w:style>
  <w:style w:type="table" w:styleId="BorderedLined-Accent4" w:customStyle="1">
    <w:name w:val="Bordered &amp; Lined - Accent 4"/>
    <w:basedOn w:val="a3"/>
    <w:uiPriority w:val="99"/>
    <w:rPr>
      <w:color w:val="404040"/>
    </w:rPr>
    <w:tblPr/>
  </w:style>
  <w:style w:type="table" w:styleId="BorderedLined-Accent5" w:customStyle="1">
    <w:name w:val="Bordered &amp; Lined - Accent 5"/>
    <w:basedOn w:val="a3"/>
    <w:uiPriority w:val="99"/>
    <w:rPr>
      <w:color w:val="404040"/>
    </w:rPr>
    <w:tblPr/>
  </w:style>
  <w:style w:type="table" w:styleId="BorderedLined-Accent6" w:customStyle="1">
    <w:name w:val="Bordered &amp; Lined - Accent 6"/>
    <w:basedOn w:val="a3"/>
    <w:uiPriority w:val="99"/>
    <w:rPr>
      <w:color w:val="404040"/>
    </w:rPr>
    <w:tblPr/>
  </w:style>
  <w:style w:type="table" w:styleId="Bordered" w:customStyle="1">
    <w:name w:val="Bordered"/>
    <w:basedOn w:val="a3"/>
    <w:uiPriority w:val="99"/>
    <w:tblPr/>
  </w:style>
  <w:style w:type="table" w:styleId="Bordered-Accent1" w:customStyle="1">
    <w:name w:val="Bordered - Accent 1"/>
    <w:basedOn w:val="a3"/>
    <w:uiPriority w:val="99"/>
    <w:tblPr/>
  </w:style>
  <w:style w:type="table" w:styleId="Bordered-Accent2" w:customStyle="1">
    <w:name w:val="Bordered - Accent 2"/>
    <w:basedOn w:val="a3"/>
    <w:uiPriority w:val="99"/>
    <w:tblPr/>
  </w:style>
  <w:style w:type="table" w:styleId="Bordered-Accent3" w:customStyle="1">
    <w:name w:val="Bordered - Accent 3"/>
    <w:basedOn w:val="a3"/>
    <w:uiPriority w:val="99"/>
    <w:tblPr/>
  </w:style>
  <w:style w:type="table" w:styleId="Bordered-Accent4" w:customStyle="1">
    <w:name w:val="Bordered - Accent 4"/>
    <w:basedOn w:val="a3"/>
    <w:uiPriority w:val="99"/>
    <w:tblPr/>
  </w:style>
  <w:style w:type="table" w:styleId="Bordered-Accent5" w:customStyle="1">
    <w:name w:val="Bordered - Accent 5"/>
    <w:basedOn w:val="a3"/>
    <w:uiPriority w:val="99"/>
    <w:tblPr/>
  </w:style>
  <w:style w:type="table" w:styleId="Bordered-Accent6" w:customStyle="1">
    <w:name w:val="Bordered - Accent 6"/>
    <w:basedOn w:val="a3"/>
    <w:uiPriority w:val="99"/>
    <w:tblPr/>
  </w:style>
  <w:style w:type="character" w:styleId="25" w:customStyle="1">
    <w:name w:val="Текст сноски Знак2"/>
    <w:link w:val="af1"/>
    <w:uiPriority w:val="99"/>
    <w:rPr>
      <w:sz w:val="18"/>
    </w:rPr>
  </w:style>
  <w:style w:type="character" w:styleId="17" w:customStyle="1">
    <w:name w:val="Текст концевой сноски Знак1"/>
    <w:link w:val="af3"/>
    <w:uiPriority w:val="99"/>
    <w:rPr>
      <w:sz w:val="20"/>
    </w:rPr>
  </w:style>
  <w:style w:type="numbering" w:styleId="WWOutlineListStyle7" w:customStyle="1">
    <w:name w:val="WW_OutlineListStyle_7"/>
    <w:basedOn w:val="a4"/>
  </w:style>
  <w:style w:type="paragraph" w:styleId="-1" w:customStyle="1">
    <w:name w:val="Гост-заг1"/>
    <w:basedOn w:val="-"/>
    <w:pPr>
      <w:pageBreakBefore w:val="0"/>
      <w:numPr>
        <w:numId w:val="1"/>
      </w:numPr>
      <w:tabs>
        <w:tab w:val="left" w:pos="-19192"/>
      </w:tabs>
      <w:jc w:val="left"/>
      <w:outlineLvl w:val="0"/>
    </w:pPr>
  </w:style>
  <w:style w:type="paragraph" w:styleId="-21" w:customStyle="1">
    <w:name w:val="Гост-заг2"/>
    <w:basedOn w:val="20"/>
    <w:pPr>
      <w:numPr>
        <w:numId w:val="0"/>
        <w:ilvl w:val="0"/>
      </w:numPr>
      <w:tabs>
        <w:tab w:val="left" w:pos="2634"/>
      </w:tabs>
      <w:ind w:left="2843" w:hanging="432"/>
    </w:pPr>
    <w:rPr>
      <w:rFonts w:ascii="Times New Roman" w:hAnsi="Times New Roman" w:eastAsia="Times New Roman"/>
      <w:bCs/>
      <w:iCs/>
      <w:lang w:eastAsia="en-US" w:bidi="en-US"/>
    </w:rPr>
  </w:style>
  <w:style w:type="paragraph" w:styleId="-31" w:customStyle="1">
    <w:name w:val="Гост-заг3"/>
    <w:basedOn w:val="-21"/>
    <w:next w:val="a1"/>
    <w:pPr>
      <w:numPr>
        <w:ilvl w:val="2"/>
      </w:numPr>
      <w:tabs>
        <w:tab w:val="clear" w:pos="2634"/>
        <w:tab w:val="left" w:pos="-9595"/>
        <w:tab w:val="left" w:pos="-8461"/>
      </w:tabs>
      <w:ind w:left="2843" w:hanging="432"/>
      <w:outlineLvl w:val="2"/>
    </w:pPr>
  </w:style>
  <w:style w:type="paragraph" w:styleId="-41" w:customStyle="1">
    <w:name w:val="Гост-заг4"/>
    <w:basedOn w:val="-31"/>
    <w:next w:val="a1"/>
    <w:pPr>
      <w:numPr>
        <w:ilvl w:val="3"/>
      </w:numPr>
      <w:tabs>
        <w:tab w:val="clear" w:pos="-9595"/>
        <w:tab w:val="left" w:pos="618"/>
        <w:tab w:val="left" w:pos="1752"/>
      </w:tabs>
      <w:spacing w:line="240" w:lineRule="auto"/>
      <w:ind w:left="2843" w:hanging="432"/>
      <w:outlineLvl w:val="3"/>
    </w:pPr>
    <w:rPr>
      <w:sz w:val="26"/>
      <w:szCs w:val="26"/>
    </w:rPr>
  </w:style>
  <w:style w:type="paragraph" w:styleId="-51" w:customStyle="1">
    <w:name w:val="Гост-заг5"/>
    <w:basedOn w:val="-41"/>
    <w:pPr>
      <w:numPr>
        <w:ilvl w:val="4"/>
      </w:numPr>
      <w:ind w:left="2843" w:hanging="432"/>
      <w:outlineLvl w:val="4"/>
    </w:pPr>
    <w:rPr>
      <w:i/>
      <w:sz w:val="24"/>
    </w:rPr>
  </w:style>
  <w:style w:type="paragraph" w:styleId="-61" w:customStyle="1">
    <w:name w:val="Гост-заг6"/>
    <w:basedOn w:val="-51"/>
    <w:next w:val="a1"/>
    <w:pPr>
      <w:numPr>
        <w:ilvl w:val="5"/>
      </w:numPr>
      <w:ind w:left="2843" w:hanging="432"/>
      <w:outlineLvl w:val="5"/>
    </w:pPr>
  </w:style>
  <w:style w:type="paragraph" w:styleId="af7" w:customStyle="1">
    <w:name w:val="раздел"/>
    <w:basedOn w:val="af8"/>
    <w:pPr>
      <w:ind w:firstLine="284"/>
    </w:pPr>
  </w:style>
  <w:style w:type="character" w:styleId="-22" w:customStyle="1">
    <w:name w:val="Гост-аннотация Знак2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character" w:styleId="-12" w:customStyle="1">
    <w:name w:val="Гост-заг1 Знак2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paragraph" w:styleId="af8" w:customStyle="1">
    <w:name w:val="Заголовок раздела"/>
    <w:basedOn w:val="-1"/>
    <w:pPr>
      <w:pageBreakBefore/>
      <w:numPr>
        <w:numId w:val="0"/>
      </w:numPr>
      <w:tabs>
        <w:tab w:val="clear" w:pos="-19192"/>
        <w:tab w:val="left" w:pos="-4977"/>
      </w:tabs>
      <w:ind w:left="851"/>
    </w:pPr>
    <w:rPr>
      <w:rFonts w:ascii="Times New Roman Полужирный" w:hAnsi="Times New Roman Полужирный"/>
    </w:rPr>
  </w:style>
  <w:style w:type="character" w:styleId="-13" w:customStyle="1">
    <w:name w:val="Гост-аннотация Знак1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character" w:styleId="-110" w:customStyle="1">
    <w:name w:val="Гост-заг1 Знак1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paragraph" w:styleId="af9">
    <w:name w:val="Balloon Text"/>
    <w:basedOn w:val="a1"/>
    <w:pPr>
      <w:spacing w:after="0"/>
    </w:pPr>
    <w:rPr>
      <w:rFonts w:ascii="Segoe UI" w:hAnsi="Segoe UI" w:cs="Segoe UI"/>
      <w:sz w:val="18"/>
      <w:szCs w:val="18"/>
    </w:rPr>
  </w:style>
  <w:style w:type="character" w:styleId="afa" w:customStyle="1">
    <w:name w:val="Текст выноски Знак"/>
    <w:rPr>
      <w:rFonts w:ascii="Segoe UI" w:hAnsi="Segoe UI" w:cs="Segoe UI"/>
      <w:sz w:val="18"/>
      <w:szCs w:val="18"/>
    </w:rPr>
  </w:style>
  <w:style w:type="character" w:styleId="19" w:customStyle="1">
    <w:name w:val="Заголовок 1 Знак"/>
    <w:uiPriority w:val="9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character" w:styleId="27" w:customStyle="1">
    <w:name w:val="Заголовок 2 Знак"/>
    <w:uiPriority w:val="9"/>
    <w:rPr>
      <w:rFonts w:ascii="Times New Roman Полужирный" w:hAnsi="Times New Roman Полужирный" w:eastAsia="Arial Unicode MS" w:cs="Times New Roman"/>
      <w:b/>
      <w:sz w:val="28"/>
      <w:szCs w:val="24"/>
      <w:lang w:eastAsia="ru-RU"/>
    </w:rPr>
  </w:style>
  <w:style w:type="character" w:styleId="33" w:customStyle="1">
    <w:name w:val="Заголовок 3 Знак"/>
    <w:uiPriority w:val="9"/>
    <w:rPr>
      <w:rFonts w:ascii="Times New Roman" w:hAnsi="Times New Roman" w:eastAsia="Courier New" w:cs="Times New Roman"/>
      <w:b/>
      <w:color w:val="000000"/>
      <w:sz w:val="24"/>
      <w:szCs w:val="24"/>
      <w:lang w:eastAsia="ru-RU"/>
    </w:rPr>
  </w:style>
  <w:style w:type="character" w:styleId="afb">
    <w:name w:val="annotation reference"/>
    <w:rPr>
      <w:sz w:val="16"/>
      <w:szCs w:val="16"/>
    </w:rPr>
  </w:style>
  <w:style w:type="paragraph" w:styleId="afc">
    <w:name w:val="annotation text"/>
    <w:basedOn w:val="a1"/>
    <w:rPr>
      <w:sz w:val="20"/>
      <w:szCs w:val="20"/>
    </w:rPr>
  </w:style>
  <w:style w:type="character" w:styleId="afd" w:customStyle="1">
    <w:name w:val="Текст примечания Знак"/>
    <w:rPr>
      <w:sz w:val="20"/>
      <w:szCs w:val="20"/>
    </w:rPr>
  </w:style>
  <w:style w:type="paragraph" w:styleId="-0" w:customStyle="1">
    <w:name w:val="Гост-абзац"/>
    <w:basedOn w:val="a1"/>
    <w:pPr>
      <w:spacing w:after="0" w:line="360" w:lineRule="auto"/>
      <w:ind w:firstLine="851"/>
      <w:jc w:val="both"/>
    </w:pPr>
    <w:rPr>
      <w:rFonts w:eastAsia="Times New Roman" w:cs="Times New Roman"/>
      <w:szCs w:val="24"/>
      <w:lang w:eastAsia="ru-RU"/>
    </w:rPr>
  </w:style>
  <w:style w:type="character" w:styleId="-8" w:customStyle="1">
    <w:name w:val="Гост-абзац Знак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fe" w:customStyle="1">
    <w:name w:val="Абзац списка Знак"/>
  </w:style>
  <w:style w:type="paragraph" w:styleId="--1" w:customStyle="1">
    <w:name w:val="Гост-табл-список"/>
    <w:basedOn w:val="--3"/>
    <w:pPr>
      <w:numPr>
        <w:numId w:val="10"/>
      </w:numPr>
    </w:pPr>
  </w:style>
  <w:style w:type="character" w:styleId="--4" w:customStyle="1">
    <w:name w:val="Гост-табл-список Знак"/>
    <w:rPr>
      <w:rFonts w:ascii="Times New Roman" w:hAnsi="Times New Roman" w:eastAsia="Times New Roman" w:cs="Times New Roman"/>
      <w:sz w:val="24"/>
      <w:szCs w:val="24"/>
    </w:rPr>
  </w:style>
  <w:style w:type="paragraph" w:styleId="aff" w:customStyle="1">
    <w:name w:val="Шапка таблицы"/>
    <w:basedOn w:val="a1"/>
    <w:pPr>
      <w:keepNext/>
      <w:spacing w:before="60" w:after="80"/>
    </w:pPr>
    <w:rPr>
      <w:rFonts w:eastAsia="Times New Roman" w:cs="Times New Roman"/>
      <w:b/>
      <w:bCs/>
      <w:szCs w:val="18"/>
      <w:lang w:eastAsia="ru-RU"/>
    </w:rPr>
  </w:style>
  <w:style w:type="character" w:styleId="aff0" w:customStyle="1">
    <w:name w:val="Без интервала Знак"/>
    <w:rPr>
      <w:rFonts w:eastAsia="Yu Mincho"/>
      <w:lang w:eastAsia="ru-RU"/>
    </w:rPr>
  </w:style>
  <w:style w:type="character" w:styleId="aff1" w:customStyle="1">
    <w:name w:val="Шапка таблицы Знак"/>
    <w:rPr>
      <w:rFonts w:ascii="Times New Roman" w:hAnsi="Times New Roman" w:eastAsia="Times New Roman" w:cs="Times New Roman"/>
      <w:b/>
      <w:bCs/>
      <w:szCs w:val="18"/>
      <w:lang w:eastAsia="ru-RU"/>
    </w:rPr>
  </w:style>
  <w:style w:type="paragraph" w:styleId="-" w:customStyle="1">
    <w:name w:val="Гост-аннотация"/>
    <w:basedOn w:val="a1"/>
    <w:next w:val="a1"/>
    <w:pPr>
      <w:keepNext/>
      <w:pageBreakBefore/>
      <w:spacing w:before="240" w:after="120" w:line="360" w:lineRule="auto"/>
      <w:jc w:val="center"/>
    </w:pPr>
    <w:rPr>
      <w:rFonts w:eastAsia="Times New Roman" w:cs="Times New Roman"/>
      <w:b/>
      <w:bCs/>
      <w:sz w:val="32"/>
      <w:szCs w:val="32"/>
      <w:lang w:bidi="en-US"/>
    </w:rPr>
  </w:style>
  <w:style w:type="character" w:styleId="-9" w:customStyle="1">
    <w:name w:val="Гост-аннотация Знак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character" w:styleId="-14" w:customStyle="1">
    <w:name w:val="Гост-заг1 Знак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character" w:styleId="-23" w:customStyle="1">
    <w:name w:val="Гост-заг2 Знак"/>
    <w:rPr>
      <w:rFonts w:ascii="Times New Roman" w:hAnsi="Times New Roman" w:eastAsia="Times New Roman" w:cs="Times New Roman"/>
      <w:b/>
      <w:bCs/>
      <w:iCs/>
      <w:sz w:val="28"/>
      <w:szCs w:val="24"/>
      <w:lang w:bidi="en-US"/>
    </w:rPr>
  </w:style>
  <w:style w:type="character" w:styleId="-32" w:customStyle="1">
    <w:name w:val="Гост-заг3 Знак"/>
    <w:rPr>
      <w:rFonts w:ascii="Times New Roman" w:hAnsi="Times New Roman" w:eastAsia="Times New Roman" w:cs="Times New Roman"/>
      <w:b/>
      <w:bCs/>
      <w:iCs/>
      <w:sz w:val="28"/>
      <w:szCs w:val="24"/>
      <w:lang w:bidi="en-US"/>
    </w:rPr>
  </w:style>
  <w:style w:type="character" w:styleId="-42" w:customStyle="1">
    <w:name w:val="Гост-заг4 Знак"/>
    <w:rPr>
      <w:rFonts w:ascii="Times New Roman" w:hAnsi="Times New Roman" w:eastAsia="Times New Roman" w:cs="Times New Roman"/>
      <w:b/>
      <w:bCs/>
      <w:iCs/>
      <w:sz w:val="26"/>
      <w:szCs w:val="26"/>
      <w:lang w:bidi="en-US"/>
    </w:rPr>
  </w:style>
  <w:style w:type="character" w:styleId="-52" w:customStyle="1">
    <w:name w:val="Гост-заг5 Знак"/>
    <w:rPr>
      <w:rFonts w:ascii="Times New Roman" w:hAnsi="Times New Roman" w:eastAsia="Times New Roman" w:cs="Times New Roman"/>
      <w:b/>
      <w:bCs/>
      <w:i/>
      <w:iCs/>
      <w:sz w:val="24"/>
      <w:szCs w:val="26"/>
      <w:lang w:bidi="en-US"/>
    </w:rPr>
  </w:style>
  <w:style w:type="character" w:styleId="-62" w:customStyle="1">
    <w:name w:val="Гост-заг6 Знак"/>
    <w:rPr>
      <w:rFonts w:ascii="Times New Roman" w:hAnsi="Times New Roman" w:eastAsia="Times New Roman" w:cs="Times New Roman"/>
      <w:b/>
      <w:bCs/>
      <w:i/>
      <w:iCs/>
      <w:sz w:val="24"/>
      <w:szCs w:val="26"/>
      <w:lang w:bidi="en-US"/>
    </w:rPr>
  </w:style>
  <w:style w:type="paragraph" w:styleId="-71" w:customStyle="1">
    <w:name w:val="Гост-заг7"/>
    <w:basedOn w:val="-51"/>
    <w:pPr>
      <w:numPr>
        <w:ilvl w:val="0"/>
      </w:numPr>
      <w:ind w:left="2843" w:hanging="432"/>
      <w:outlineLvl w:val="5"/>
    </w:pPr>
  </w:style>
  <w:style w:type="character" w:styleId="-72" w:customStyle="1">
    <w:name w:val="Гост-заг7 Знак"/>
    <w:rPr>
      <w:rFonts w:ascii="Times New Roman" w:hAnsi="Times New Roman" w:eastAsia="Times New Roman" w:cs="Times New Roman"/>
      <w:b/>
      <w:bCs/>
      <w:i/>
      <w:iCs/>
      <w:sz w:val="24"/>
      <w:szCs w:val="26"/>
      <w:lang w:bidi="en-US"/>
    </w:rPr>
  </w:style>
  <w:style w:type="paragraph" w:styleId="-a" w:customStyle="1">
    <w:name w:val="Гост-прил"/>
    <w:basedOn w:val="10"/>
    <w:next w:val="a1"/>
    <w:pPr>
      <w:keepLines/>
      <w:jc w:val="center"/>
    </w:pPr>
    <w:rPr>
      <w:rFonts w:ascii="Times New Roman Полужирный" w:hAnsi="Times New Roman Полужирный"/>
      <w:bCs w:val="0"/>
      <w:szCs w:val="44"/>
      <w:lang w:eastAsia="ru-RU" w:bidi="ar-SA"/>
    </w:rPr>
  </w:style>
  <w:style w:type="paragraph" w:styleId="--5" w:customStyle="1">
    <w:name w:val="Гост-рис-название"/>
    <w:basedOn w:val="a1"/>
    <w:pPr>
      <w:spacing w:before="120" w:after="120"/>
      <w:jc w:val="center"/>
    </w:pPr>
    <w:rPr>
      <w:rFonts w:eastAsia="Arial Unicode MS" w:cs="Times New Roman"/>
      <w:bCs/>
      <w:szCs w:val="24"/>
      <w:lang w:bidi="en-US"/>
    </w:rPr>
  </w:style>
  <w:style w:type="character" w:styleId="--6" w:customStyle="1">
    <w:name w:val="Гост-рис-название Знак"/>
    <w:rPr>
      <w:rFonts w:ascii="Times New Roman" w:hAnsi="Times New Roman" w:eastAsia="Arial Unicode MS" w:cs="Times New Roman"/>
      <w:bCs/>
      <w:sz w:val="24"/>
      <w:szCs w:val="24"/>
      <w:lang w:bidi="en-US"/>
    </w:rPr>
  </w:style>
  <w:style w:type="paragraph" w:styleId="-b" w:customStyle="1">
    <w:name w:val="Гост-рис"/>
    <w:basedOn w:val="--5"/>
    <w:pPr>
      <w:spacing w:after="0" w:line="360" w:lineRule="auto"/>
    </w:pPr>
  </w:style>
  <w:style w:type="character" w:styleId="-c" w:customStyle="1">
    <w:name w:val="Гост-рис Знак"/>
    <w:rPr>
      <w:rFonts w:ascii="Times New Roman" w:hAnsi="Times New Roman" w:eastAsia="Arial Unicode MS" w:cs="Times New Roman"/>
      <w:bCs/>
      <w:sz w:val="24"/>
      <w:szCs w:val="24"/>
      <w:lang w:bidi="en-US"/>
    </w:rPr>
  </w:style>
  <w:style w:type="paragraph" w:styleId="--2" w:customStyle="1">
    <w:name w:val="Гост-список-марк"/>
    <w:basedOn w:val="a1"/>
    <w:qFormat/>
    <w:pPr>
      <w:numPr>
        <w:numId w:val="16"/>
      </w:numPr>
      <w:spacing w:after="0" w:line="360" w:lineRule="auto"/>
      <w:jc w:val="both"/>
    </w:pPr>
    <w:rPr>
      <w:rFonts w:cs="Times New Roman"/>
      <w:szCs w:val="24"/>
      <w:shd w:val="clear" w:color="auto" w:fill="ffffff"/>
    </w:rPr>
  </w:style>
  <w:style w:type="character" w:styleId="--7" w:customStyle="1">
    <w:name w:val="Гост-список-марк Знак"/>
    <w:rPr>
      <w:rFonts w:ascii="Times New Roman" w:hAnsi="Times New Roman" w:eastAsia="Calibri" w:cs="Times New Roman"/>
      <w:sz w:val="24"/>
      <w:szCs w:val="24"/>
    </w:rPr>
  </w:style>
  <w:style w:type="paragraph" w:styleId="--" w:customStyle="1">
    <w:name w:val="Гост-список-нум"/>
    <w:basedOn w:val="--2"/>
    <w:pPr>
      <w:numPr>
        <w:numId w:val="9"/>
      </w:numPr>
    </w:pPr>
  </w:style>
  <w:style w:type="character" w:styleId="--8" w:customStyle="1">
    <w:name w:val="Гост-список-нум Знак"/>
    <w:rPr>
      <w:rFonts w:ascii="Times New Roman" w:hAnsi="Times New Roman" w:eastAsia="Calibri" w:cs="Times New Roman"/>
      <w:sz w:val="24"/>
      <w:szCs w:val="24"/>
    </w:rPr>
  </w:style>
  <w:style w:type="paragraph" w:styleId="-d" w:customStyle="1">
    <w:name w:val="Гост-стр"/>
    <w:basedOn w:val="a1"/>
    <w:pPr>
      <w:tabs>
        <w:tab w:val="center" w:pos="4677"/>
        <w:tab w:val="right" w:pos="9355"/>
      </w:tabs>
      <w:spacing w:after="0" w:line="360" w:lineRule="auto"/>
      <w:jc w:val="center"/>
    </w:pPr>
    <w:rPr>
      <w:rFonts w:cs="Courier New"/>
    </w:rPr>
  </w:style>
  <w:style w:type="character" w:styleId="-e" w:customStyle="1">
    <w:name w:val="Гост-стр Знак"/>
    <w:rPr>
      <w:rFonts w:ascii="Times New Roman" w:hAnsi="Times New Roman" w:cs="Courier New"/>
      <w:sz w:val="24"/>
    </w:rPr>
  </w:style>
  <w:style w:type="paragraph" w:styleId="--9" w:customStyle="1">
    <w:name w:val="Гост-табл-заг"/>
    <w:basedOn w:val="a1"/>
    <w:pPr>
      <w:keepNext/>
      <w:spacing w:after="0"/>
      <w:jc w:val="center"/>
    </w:pPr>
    <w:rPr>
      <w:rFonts w:eastAsia="Times New Roman" w:cs="Times New Roman"/>
      <w:b/>
      <w:szCs w:val="24"/>
    </w:rPr>
  </w:style>
  <w:style w:type="character" w:styleId="--a" w:customStyle="1">
    <w:name w:val="Гост-табл-заг Знак"/>
    <w:rPr>
      <w:rFonts w:ascii="Times New Roman" w:hAnsi="Times New Roman" w:eastAsia="Times New Roman" w:cs="Times New Roman"/>
      <w:b/>
      <w:sz w:val="24"/>
      <w:szCs w:val="24"/>
    </w:rPr>
  </w:style>
  <w:style w:type="paragraph" w:styleId="--b" w:customStyle="1">
    <w:name w:val="Гост-табл-назв"/>
    <w:basedOn w:val="a1"/>
    <w:pPr>
      <w:keepNext/>
      <w:spacing w:before="120" w:after="120"/>
      <w:jc w:val="both"/>
    </w:pPr>
    <w:rPr>
      <w:rFonts w:eastAsia="Arial Unicode MS" w:cs="Times New Roman"/>
      <w:bCs/>
      <w:szCs w:val="24"/>
      <w:lang w:bidi="en-US"/>
    </w:rPr>
  </w:style>
  <w:style w:type="character" w:styleId="--c" w:customStyle="1">
    <w:name w:val="Гост-табл-назв Знак"/>
    <w:rPr>
      <w:rFonts w:ascii="Times New Roman" w:hAnsi="Times New Roman" w:eastAsia="Arial Unicode MS" w:cs="Times New Roman"/>
      <w:bCs/>
      <w:sz w:val="24"/>
      <w:szCs w:val="24"/>
      <w:lang w:bidi="en-US"/>
    </w:rPr>
  </w:style>
  <w:style w:type="paragraph" w:styleId="--3" w:customStyle="1">
    <w:name w:val="гост-табл-текст"/>
    <w:basedOn w:val="a1"/>
    <w:qFormat/>
    <w:pPr>
      <w:spacing w:after="0"/>
    </w:pPr>
    <w:rPr>
      <w:rFonts w:eastAsia="Times New Roman" w:cs="Times New Roman"/>
      <w:szCs w:val="24"/>
    </w:rPr>
  </w:style>
  <w:style w:type="character" w:styleId="--d" w:customStyle="1">
    <w:name w:val="гост-табл-текст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44" w:customStyle="1">
    <w:name w:val="Заголовок 4 Знак"/>
    <w:rPr>
      <w:rFonts w:ascii="Times New Roman" w:hAnsi="Times New Roman" w:eastAsia="Times New Roman" w:cs="Times New Roman"/>
      <w:sz w:val="26"/>
      <w:szCs w:val="26"/>
    </w:rPr>
  </w:style>
  <w:style w:type="character" w:styleId="53" w:customStyle="1">
    <w:name w:val="Заголовок 5 Знак"/>
    <w:rPr>
      <w:rFonts w:ascii="Times New Roman" w:hAnsi="Times New Roman" w:eastAsia="Symbol" w:cs="Times New Roman"/>
      <w:i/>
      <w:iCs/>
      <w:sz w:val="24"/>
      <w:szCs w:val="24"/>
      <w:lang w:eastAsia="zh-CN"/>
    </w:rPr>
  </w:style>
  <w:style w:type="paragraph" w:styleId="61" w:customStyle="1">
    <w:name w:val="А61"/>
    <w:basedOn w:val="a1"/>
    <w:next w:val="a1"/>
    <w:pPr>
      <w:keepNext/>
      <w:keepLines/>
      <w:spacing w:before="40" w:after="0"/>
      <w:outlineLvl w:val="5"/>
    </w:pPr>
    <w:rPr>
      <w:rFonts w:ascii="Calibri Light" w:hAnsi="Calibri Light" w:eastAsia="Times New Roman" w:cs="Times New Roman"/>
      <w:color w:val="1f3763"/>
    </w:rPr>
  </w:style>
  <w:style w:type="character" w:styleId="72" w:customStyle="1">
    <w:name w:val="Заголовок 7 Знак"/>
    <w:rPr>
      <w:rFonts w:ascii="Mangal" w:hAnsi="Mangal" w:eastAsia="Symbol" w:cs="Mangal"/>
      <w:b/>
      <w:i/>
      <w:sz w:val="24"/>
      <w:szCs w:val="20"/>
      <w:lang w:eastAsia="zh-CN"/>
    </w:rPr>
  </w:style>
  <w:style w:type="character" w:styleId="82" w:customStyle="1">
    <w:name w:val="Заголовок 8 Знак"/>
    <w:rPr>
      <w:rFonts w:ascii="Mangal" w:hAnsi="Mangal" w:eastAsia="Symbol" w:cs="Mangal"/>
      <w:b/>
      <w:sz w:val="24"/>
      <w:szCs w:val="20"/>
      <w:lang w:eastAsia="zh-CN"/>
    </w:rPr>
  </w:style>
  <w:style w:type="character" w:styleId="92" w:customStyle="1">
    <w:name w:val="Заголовок 9 Знак"/>
    <w:rPr>
      <w:rFonts w:ascii="Mangal" w:hAnsi="Mangal" w:eastAsia="Symbol" w:cs="Mangal"/>
      <w:sz w:val="24"/>
      <w:szCs w:val="20"/>
      <w:lang w:eastAsia="zh-CN"/>
    </w:rPr>
  </w:style>
  <w:style w:type="paragraph" w:styleId="-15" w:customStyle="1">
    <w:name w:val="Гост-1заг"/>
    <w:basedOn w:val="-"/>
    <w:pPr>
      <w:ind w:left="851"/>
      <w:jc w:val="left"/>
      <w:outlineLvl w:val="0"/>
    </w:pPr>
  </w:style>
  <w:style w:type="character" w:styleId="-16" w:customStyle="1">
    <w:name w:val="Гост-1заг Знак"/>
    <w:rPr>
      <w:rFonts w:ascii="Times New Roman" w:hAnsi="Times New Roman" w:eastAsia="Times New Roman" w:cs="Times New Roman"/>
      <w:b/>
      <w:bCs/>
      <w:sz w:val="32"/>
      <w:szCs w:val="32"/>
      <w:lang w:bidi="en-US"/>
    </w:rPr>
  </w:style>
  <w:style w:type="paragraph" w:styleId="-f" w:customStyle="1">
    <w:name w:val="гост-нумерованный"/>
    <w:basedOn w:val="-0"/>
    <w:rPr>
      <w:lang w:bidi="en-US"/>
    </w:rPr>
  </w:style>
  <w:style w:type="character" w:styleId="-f0" w:customStyle="1">
    <w:name w:val="гост-нумерованный Знак"/>
    <w:rPr>
      <w:rFonts w:ascii="Times New Roman" w:hAnsi="Times New Roman" w:eastAsia="Times New Roman" w:cs="Times New Roman"/>
      <w:sz w:val="24"/>
      <w:szCs w:val="24"/>
      <w:lang w:eastAsia="ru-RU" w:bidi="en-US"/>
    </w:rPr>
  </w:style>
  <w:style w:type="paragraph" w:styleId="--e" w:customStyle="1">
    <w:name w:val="гост-рис-название"/>
    <w:basedOn w:val="a1"/>
    <w:pPr>
      <w:spacing w:after="120"/>
      <w:jc w:val="center"/>
    </w:pPr>
    <w:rPr>
      <w:rFonts w:eastAsia="Arial Unicode MS" w:cs="Times New Roman"/>
      <w:bCs/>
      <w:szCs w:val="24"/>
      <w:lang w:bidi="en-US"/>
    </w:rPr>
  </w:style>
  <w:style w:type="character" w:styleId="--f" w:customStyle="1">
    <w:name w:val="гост-рис-название Знак"/>
    <w:rPr>
      <w:rFonts w:ascii="Times New Roman" w:hAnsi="Times New Roman" w:eastAsia="Arial Unicode MS" w:cs="Times New Roman"/>
      <w:bCs/>
      <w:sz w:val="24"/>
      <w:szCs w:val="24"/>
      <w:lang w:bidi="en-US"/>
    </w:rPr>
  </w:style>
  <w:style w:type="paragraph" w:styleId="-f1" w:customStyle="1">
    <w:name w:val="ГОСТ-список"/>
    <w:basedOn w:val="a1"/>
    <w:pPr>
      <w:spacing w:after="0" w:line="360" w:lineRule="auto"/>
      <w:jc w:val="both"/>
    </w:pPr>
    <w:rPr>
      <w:rFonts w:cs="Times New Roman"/>
      <w:szCs w:val="24"/>
      <w:shd w:val="clear" w:color="auto" w:fill="ffffff"/>
    </w:rPr>
  </w:style>
  <w:style w:type="character" w:styleId="-f2" w:customStyle="1">
    <w:name w:val="ГОСТ-список Знак"/>
    <w:rPr>
      <w:rFonts w:ascii="Times New Roman" w:hAnsi="Times New Roman" w:eastAsia="Calibri" w:cs="Times New Roman"/>
      <w:sz w:val="24"/>
      <w:szCs w:val="24"/>
    </w:rPr>
  </w:style>
  <w:style w:type="character" w:styleId="aff2" w:customStyle="1">
    <w:name w:val="Верхний колонтитул Знак"/>
    <w:uiPriority w:val="99"/>
    <w:rPr>
      <w:sz w:val="24"/>
      <w:szCs w:val="24"/>
    </w:rPr>
  </w:style>
  <w:style w:type="paragraph" w:styleId="--f0" w:customStyle="1">
    <w:name w:val="гост-табл-заг"/>
    <w:basedOn w:val="a1"/>
    <w:qFormat/>
    <w:pPr>
      <w:keepNext/>
      <w:spacing w:after="0"/>
      <w:jc w:val="center"/>
    </w:pPr>
    <w:rPr>
      <w:rFonts w:eastAsia="Times New Roman" w:cs="Times New Roman"/>
      <w:b/>
      <w:szCs w:val="24"/>
    </w:rPr>
  </w:style>
  <w:style w:type="character" w:styleId="--f1" w:customStyle="1">
    <w:name w:val="гост-табл-заг Знак"/>
    <w:qFormat/>
    <w:rPr>
      <w:rFonts w:ascii="Times New Roman" w:hAnsi="Times New Roman" w:eastAsia="Times New Roman" w:cs="Times New Roman"/>
      <w:b/>
      <w:sz w:val="24"/>
      <w:szCs w:val="24"/>
    </w:rPr>
  </w:style>
  <w:style w:type="character" w:styleId="63" w:customStyle="1">
    <w:name w:val="Заголовок 6 Знак"/>
    <w:rPr>
      <w:rFonts w:ascii="Calibri Light" w:hAnsi="Calibri Light" w:eastAsia="Times New Roman" w:cs="Times New Roman"/>
      <w:color w:val="1f3763"/>
      <w:sz w:val="22"/>
      <w:szCs w:val="22"/>
    </w:rPr>
  </w:style>
  <w:style w:type="character" w:styleId="1a" w:customStyle="1">
    <w:name w:val="Гиперссылка1"/>
    <w:rPr>
      <w:color w:val="0563c1"/>
      <w:u w:val="single"/>
    </w:rPr>
  </w:style>
  <w:style w:type="paragraph" w:styleId="aff3">
    <w:name w:val="annotation subject"/>
    <w:basedOn w:val="afc"/>
    <w:next w:val="afc"/>
    <w:pPr>
      <w:spacing w:after="0"/>
    </w:pPr>
    <w:rPr>
      <w:b/>
      <w:bCs/>
    </w:rPr>
  </w:style>
  <w:style w:type="character" w:styleId="aff4" w:customStyle="1">
    <w:name w:val="Тема примечания Знак"/>
    <w:rPr>
      <w:b/>
      <w:bCs/>
      <w:sz w:val="20"/>
      <w:szCs w:val="20"/>
    </w:rPr>
  </w:style>
  <w:style w:type="character" w:styleId="aff5" w:customStyle="1">
    <w:name w:val="Текст сноски Знак"/>
    <w:uiPriority w:val="99"/>
    <w:rPr>
      <w:rFonts w:ascii="Times New Roman" w:hAnsi="Times New Roman" w:eastAsia="Arial Unicode MS" w:cs="Times New Roman"/>
      <w:sz w:val="20"/>
      <w:szCs w:val="20"/>
      <w:lang w:val="en-US" w:bidi="en-US"/>
    </w:rPr>
  </w:style>
  <w:style w:type="character" w:styleId="aff6" w:customStyle="1">
    <w:name w:val="Нижний колонтитул Знак"/>
    <w:rPr>
      <w:sz w:val="24"/>
      <w:szCs w:val="24"/>
    </w:rPr>
  </w:style>
  <w:style w:type="character" w:styleId="1b" w:customStyle="1">
    <w:name w:val="Текст сноски Знак1"/>
    <w:rPr>
      <w:rFonts w:ascii="Symbol" w:hAnsi="Symbol" w:eastAsia="Symbol" w:cs="Symbol"/>
      <w:sz w:val="20"/>
      <w:szCs w:val="20"/>
      <w:lang w:eastAsia="zh-CN"/>
    </w:rPr>
  </w:style>
  <w:style w:type="character" w:styleId="aff7" w:customStyle="1">
    <w:name w:val="ОснТекст Знак"/>
    <w:rPr>
      <w:rFonts w:ascii="Times New Roman" w:hAnsi="Times New Roman" w:eastAsia="Symbol" w:cs="Symbol"/>
      <w:szCs w:val="44"/>
    </w:rPr>
  </w:style>
  <w:style w:type="paragraph" w:styleId="aff8" w:customStyle="1">
    <w:name w:val="ОснТекст"/>
    <w:basedOn w:val="26"/>
    <w:pPr>
      <w:tabs>
        <w:tab w:val="left" w:pos="851"/>
        <w:tab w:val="right" w:pos="9355" w:leader="dot"/>
      </w:tabs>
      <w:spacing w:before="120" w:line="360" w:lineRule="auto"/>
      <w:ind w:left="0" w:firstLine="851"/>
      <w:jc w:val="both"/>
    </w:pPr>
    <w:rPr>
      <w:rFonts w:eastAsia="Symbol" w:cs="Symbol"/>
      <w:sz w:val="22"/>
      <w:szCs w:val="44"/>
    </w:rPr>
  </w:style>
  <w:style w:type="character" w:styleId="1c" w:customStyle="1">
    <w:name w:val="Текст примечания Знак1"/>
    <w:rPr>
      <w:rFonts w:ascii="Times New Roman" w:hAnsi="Times New Roman" w:eastAsia="Symbol" w:cs="Symbol"/>
      <w:lang w:eastAsia="zh-CN"/>
    </w:rPr>
  </w:style>
  <w:style w:type="paragraph" w:styleId="1596" w:customStyle="1">
    <w:name w:val="Стиль Стиль По ширине Первая строка:  1.59 см + Перед:  6 пт После..."/>
    <w:basedOn w:val="a1"/>
    <w:pPr>
      <w:spacing w:before="120" w:after="0" w:line="360" w:lineRule="auto"/>
      <w:ind w:firstLine="902"/>
      <w:jc w:val="both"/>
    </w:pPr>
    <w:rPr>
      <w:rFonts w:eastAsia="Times New Roman" w:cs="Times New Roman"/>
      <w:szCs w:val="20"/>
      <w:lang w:val="en-US" w:eastAsia="ru-RU"/>
    </w:rPr>
  </w:style>
  <w:style w:type="paragraph" w:styleId="aff9" w:customStyle="1">
    <w:name w:val="Текст документа"/>
    <w:basedOn w:val="a1"/>
    <w:pPr>
      <w:spacing w:after="0" w:line="360" w:lineRule="auto"/>
      <w:ind w:firstLine="851"/>
      <w:jc w:val="both"/>
    </w:pPr>
    <w:rPr>
      <w:rFonts w:eastAsia="Times New Roman" w:cs="Times New Roman"/>
      <w:szCs w:val="24"/>
      <w:lang w:eastAsia="ru-RU"/>
    </w:rPr>
  </w:style>
  <w:style w:type="paragraph" w:styleId="affa" w:customStyle="1">
    <w:name w:val="Обычный (без отступа)"/>
    <w:basedOn w:val="a1"/>
    <w:pPr>
      <w:spacing w:after="0"/>
      <w:jc w:val="both"/>
    </w:pPr>
    <w:rPr>
      <w:rFonts w:eastAsia="Times New Roman" w:cs="Times New Roman"/>
      <w:szCs w:val="24"/>
      <w:lang w:eastAsia="ru-RU"/>
    </w:rPr>
  </w:style>
  <w:style w:type="character" w:styleId="affb" w:customStyle="1">
    <w:name w:val="Обычный (без отступа) Знак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 w:customStyle="1">
    <w:name w:val="Обычный 1 Многоуровневый нумерованный"/>
    <w:basedOn w:val="a1"/>
    <w:pPr>
      <w:numPr>
        <w:numId w:val="11"/>
      </w:numPr>
      <w:tabs>
        <w:tab w:val="left" w:pos="278"/>
      </w:tabs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styleId="affc">
    <w:name w:val="Revision"/>
    <w:rPr>
      <w:sz w:val="24"/>
      <w:szCs w:val="24"/>
      <w:lang w:eastAsia="en-US"/>
    </w:rPr>
  </w:style>
  <w:style w:type="character" w:styleId="affd" w:customStyle="1">
    <w:name w:val="Название объекта Знак"/>
    <w:uiPriority w:val="35"/>
    <w:rPr>
      <w:i/>
      <w:iCs/>
      <w:color w:val="44546a"/>
      <w:sz w:val="18"/>
      <w:szCs w:val="18"/>
    </w:rPr>
  </w:style>
  <w:style w:type="character" w:styleId="affe" w:customStyle="1">
    <w:name w:val="Текст концевой сноски Знак"/>
    <w:rPr>
      <w:sz w:val="20"/>
      <w:szCs w:val="20"/>
    </w:rPr>
  </w:style>
  <w:style w:type="paragraph" w:styleId="2" w:customStyle="1">
    <w:name w:val="Маркированный 2"/>
    <w:basedOn w:val="a1"/>
    <w:pPr>
      <w:numPr>
        <w:numId w:val="12"/>
      </w:numPr>
      <w:tabs>
        <w:tab w:val="left" w:pos="-5040"/>
        <w:tab w:val="left" w:pos="-4484"/>
      </w:tabs>
      <w:spacing w:after="0" w:line="276" w:lineRule="auto"/>
      <w:jc w:val="both"/>
    </w:pPr>
    <w:rPr>
      <w:rFonts w:eastAsia="Times New Roman" w:cs="Times New Roman"/>
      <w:szCs w:val="24"/>
    </w:rPr>
  </w:style>
  <w:style w:type="paragraph" w:styleId="afff" w:customStyle="1">
    <w:name w:val="ОДОПМ Имя таблицы"/>
    <w:basedOn w:val="ae"/>
    <w:pPr>
      <w:keepNext/>
      <w:widowControl w:val="off"/>
      <w:spacing w:after="0"/>
      <w:jc w:val="both"/>
    </w:pPr>
    <w:rPr>
      <w:rFonts w:eastAsia="Times New Roman" w:cs="Times New Roman"/>
      <w:bCs/>
      <w:i/>
      <w:iCs w:val="0"/>
      <w:szCs w:val="24"/>
      <w:lang w:eastAsia="ru-RU"/>
    </w:rPr>
  </w:style>
  <w:style w:type="character" w:styleId="afff0" w:customStyle="1">
    <w:name w:val="ОДОПМ Имя таблицы Знак"/>
    <w:rPr>
      <w:rFonts w:ascii="Times New Roman" w:hAnsi="Times New Roman" w:eastAsia="Times New Roman" w:cs="Times New Roman"/>
      <w:bCs/>
      <w:sz w:val="24"/>
      <w:szCs w:val="24"/>
      <w:lang w:eastAsia="ru-RU"/>
    </w:rPr>
  </w:style>
  <w:style w:type="paragraph" w:styleId="afff1" w:customStyle="1">
    <w:name w:val="ОДОПМ Таблицы текст"/>
    <w:basedOn w:val="a1"/>
    <w:pPr>
      <w:spacing w:after="0"/>
    </w:pPr>
    <w:rPr>
      <w:rFonts w:eastAsia="Times New Roman" w:cs="Times New Roman"/>
      <w:szCs w:val="24"/>
      <w:lang w:eastAsia="ru-RU"/>
    </w:rPr>
  </w:style>
  <w:style w:type="character" w:styleId="afff2" w:customStyle="1">
    <w:name w:val="ОДОПМ Таблицы текст Знак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--0" w:customStyle="1">
    <w:name w:val="Гост-таб-список"/>
    <w:basedOn w:val="--3"/>
    <w:pPr>
      <w:numPr>
        <w:numId w:val="13"/>
      </w:numPr>
    </w:pPr>
  </w:style>
  <w:style w:type="character" w:styleId="--f2" w:customStyle="1">
    <w:name w:val="Гост-таб-список Знак"/>
    <w:rPr>
      <w:rFonts w:ascii="Times New Roman" w:hAnsi="Times New Roman" w:eastAsia="Times New Roman" w:cs="Times New Roman"/>
      <w:sz w:val="24"/>
      <w:szCs w:val="24"/>
    </w:rPr>
  </w:style>
  <w:style w:type="character" w:styleId="afff3">
    <w:name w:val="Placeholder Text"/>
    <w:rPr>
      <w:color w:val="808080"/>
    </w:rPr>
  </w:style>
  <w:style w:type="paragraph" w:styleId="45" w:customStyle="1">
    <w:name w:val="Стиль4"/>
    <w:basedOn w:val="ae"/>
    <w:pPr>
      <w:keepNext/>
      <w:spacing w:after="0"/>
      <w:ind w:left="-142" w:firstLine="142"/>
    </w:pPr>
    <w:rPr>
      <w:rFonts w:eastAsia="Times New Roman" w:cs="Times New Roman"/>
      <w:i/>
      <w:iCs w:val="0"/>
      <w:szCs w:val="24"/>
      <w:lang w:eastAsia="ru-RU"/>
    </w:rPr>
  </w:style>
  <w:style w:type="character" w:styleId="46" w:customStyle="1">
    <w:name w:val="Стиль4 Знак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d" w:customStyle="1">
    <w:name w:val="Заголовок1"/>
    <w:basedOn w:val="a1"/>
    <w:pPr>
      <w:spacing w:before="240" w:after="60" w:line="360" w:lineRule="auto"/>
      <w:ind w:firstLine="851"/>
      <w:jc w:val="center"/>
    </w:pPr>
    <w:rPr>
      <w:rFonts w:ascii="Arial" w:hAnsi="Arial" w:eastAsia="Times New Roman"/>
      <w:b/>
      <w:bCs/>
      <w:caps/>
      <w:sz w:val="32"/>
      <w:szCs w:val="32"/>
      <w:lang w:eastAsia="ru-RU"/>
    </w:rPr>
  </w:style>
  <w:style w:type="character" w:styleId="afff4" w:customStyle="1">
    <w:name w:val="Заголовок Знак"/>
    <w:rPr>
      <w:rFonts w:ascii="Arial" w:hAnsi="Arial" w:eastAsia="Times New Roman" w:cs="Arial"/>
      <w:b/>
      <w:bCs/>
      <w:caps/>
      <w:sz w:val="32"/>
      <w:szCs w:val="32"/>
      <w:lang w:eastAsia="ru-RU"/>
    </w:rPr>
  </w:style>
  <w:style w:type="paragraph" w:styleId="afff5" w:customStyle="1">
    <w:name w:val="Таблица"/>
    <w:basedOn w:val="a1"/>
    <w:pPr>
      <w:spacing w:after="0"/>
      <w:jc w:val="both"/>
    </w:pPr>
    <w:rPr>
      <w:rFonts w:eastAsia="Times New Roman" w:cs="Times New Roman"/>
      <w:szCs w:val="24"/>
      <w:lang w:eastAsia="ru-RU"/>
    </w:rPr>
  </w:style>
  <w:style w:type="character" w:styleId="afff6" w:customStyle="1">
    <w:name w:val="Таблица Знак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4" w:customStyle="1">
    <w:name w:val="ГС_Заголовок3_прил"/>
    <w:basedOn w:val="3"/>
    <w:next w:val="a1"/>
    <w:pPr>
      <w:tabs>
        <w:tab w:val="left" w:pos="1571"/>
        <w:tab w:val="left" w:pos="2160"/>
      </w:tabs>
      <w:spacing w:before="180" w:after="180" w:line="360" w:lineRule="auto"/>
      <w:ind w:left="2160" w:hanging="360"/>
    </w:pPr>
    <w:rPr>
      <w:rFonts w:eastAsia="Times New Roman"/>
      <w:bCs/>
      <w:sz w:val="28"/>
    </w:rPr>
  </w:style>
  <w:style w:type="character" w:styleId="1e" w:customStyle="1">
    <w:name w:val="Неразрешенное упоминание1"/>
    <w:rPr>
      <w:color w:val="605e5c"/>
      <w:shd w:val="clear" w:color="auto" w:fill="e1dfdd"/>
    </w:rPr>
  </w:style>
  <w:style w:type="paragraph" w:styleId="-130" w:customStyle="1">
    <w:name w:val="Цветной список - Акцент 13"/>
    <w:basedOn w:val="a1"/>
    <w:pPr>
      <w:ind w:left="720"/>
    </w:pPr>
    <w:rPr>
      <w:rFonts w:ascii="Calibri" w:hAnsi="Calibri" w:cs="Times New Roman"/>
    </w:rPr>
  </w:style>
  <w:style w:type="character" w:styleId="afff7">
    <w:name w:val="page number"/>
    <w:rPr>
      <w:rFonts w:cs="Symbol"/>
    </w:rPr>
  </w:style>
  <w:style w:type="character" w:styleId="610" w:customStyle="1">
    <w:name w:val="Заголовок 6 Знак1"/>
    <w:rPr>
      <w:rFonts w:ascii="Calibri Light" w:hAnsi="Calibri Light" w:eastAsia="Yu Gothic Light" w:cs="Times New Roman"/>
      <w:color w:val="1f3763"/>
    </w:rPr>
  </w:style>
  <w:style w:type="paragraph" w:styleId="MediumGrid1-Accent21" w:customStyle="1">
    <w:name w:val="Medium Grid 1 - Accent 21"/>
    <w:basedOn w:val="a1"/>
    <w:pPr>
      <w:spacing w:after="200" w:line="276" w:lineRule="auto"/>
      <w:ind w:left="720"/>
      <w:jc w:val="both"/>
    </w:pPr>
    <w:rPr>
      <w:rFonts w:eastAsia="Times New Roman" w:cs="Times New Roman"/>
      <w:sz w:val="28"/>
      <w:lang w:eastAsia="ru-RU"/>
    </w:rPr>
  </w:style>
  <w:style w:type="character" w:styleId="1-2" w:customStyle="1">
    <w:name w:val="Средняя сетка 1 - Акцент 2 Знак"/>
    <w:rPr>
      <w:rFonts w:ascii="Times New Roman" w:hAnsi="Times New Roman" w:eastAsia="Times New Roman" w:cs="Times New Roman"/>
      <w:sz w:val="28"/>
      <w:lang w:eastAsia="ru-RU"/>
    </w:rPr>
  </w:style>
  <w:style w:type="paragraph" w:styleId="4">
    <w:name w:val="List Bullet 4"/>
    <w:basedOn w:val="a1"/>
    <w:pPr>
      <w:numPr>
        <w:numId w:val="14"/>
      </w:numPr>
      <w:spacing w:after="0"/>
    </w:pPr>
    <w:rPr>
      <w:rFonts w:cs="Times New Roman"/>
      <w:szCs w:val="24"/>
      <w:lang w:eastAsia="ru-RU"/>
    </w:rPr>
  </w:style>
  <w:style w:type="character" w:styleId="54" w:customStyle="1">
    <w:name w:val="Стиль5 Знак"/>
    <w:rPr>
      <w:rFonts w:ascii="Courier New" w:hAnsi="Courier New" w:cs="Courier New"/>
      <w:bCs/>
      <w:color w:val="ffffff"/>
      <w:sz w:val="18"/>
      <w:szCs w:val="18"/>
    </w:rPr>
  </w:style>
  <w:style w:type="paragraph" w:styleId="55" w:customStyle="1">
    <w:name w:val="Стиль5"/>
    <w:basedOn w:val="a1"/>
    <w:pPr>
      <w:spacing w:after="0"/>
      <w:jc w:val="both"/>
    </w:pPr>
    <w:rPr>
      <w:rFonts w:ascii="Courier New" w:hAnsi="Courier New" w:cs="Courier New"/>
      <w:bCs/>
      <w:color w:val="ffffff"/>
      <w:sz w:val="18"/>
      <w:szCs w:val="18"/>
    </w:rPr>
  </w:style>
  <w:style w:type="paragraph" w:styleId="a">
    <w:name w:val="List Bullet"/>
    <w:basedOn w:val="--2"/>
    <w:pPr>
      <w:numPr>
        <w:numId w:val="15"/>
      </w:numPr>
    </w:pPr>
  </w:style>
  <w:style w:type="character" w:styleId="28" w:customStyle="1">
    <w:name w:val="Неразрешенное упоминание2"/>
    <w:rPr>
      <w:color w:val="605e5c"/>
      <w:shd w:val="clear" w:color="auto" w:fill="e1dfdd"/>
    </w:rPr>
  </w:style>
  <w:style w:type="character" w:styleId="afff8" w:customStyle="1">
    <w:name w:val="_Основной перед списком Знак"/>
    <w:qFormat/>
    <w:rPr>
      <w:rFonts w:ascii="Times New Roman" w:hAnsi="Times New Roman" w:eastAsia="Times New Roman"/>
      <w:sz w:val="24"/>
      <w:szCs w:val="24"/>
    </w:rPr>
  </w:style>
  <w:style w:type="character" w:styleId="afff9">
    <w:name w:val="FollowedHyperlink"/>
    <w:rPr>
      <w:color w:val="954f72"/>
      <w:u w:val="single"/>
    </w:rPr>
  </w:style>
  <w:style w:type="paragraph" w:styleId="paragraph" w:customStyle="1">
    <w:name w:val="paragraph"/>
    <w:basedOn w:val="a1"/>
    <w:pPr>
      <w:spacing w:before="100" w:after="100"/>
    </w:pPr>
    <w:rPr>
      <w:rFonts w:eastAsia="Times New Roman" w:cs="Times New Roman"/>
      <w:szCs w:val="24"/>
      <w:lang w:eastAsia="ru-RU"/>
    </w:rPr>
  </w:style>
  <w:style w:type="character" w:styleId="normaltextrun" w:customStyle="1">
    <w:name w:val="normaltextrun"/>
    <w:basedOn w:val="a2"/>
  </w:style>
  <w:style w:type="character" w:styleId="eop" w:customStyle="1">
    <w:name w:val="eop"/>
    <w:basedOn w:val="a2"/>
  </w:style>
  <w:style w:type="character" w:styleId="spellingerror" w:customStyle="1">
    <w:name w:val="spellingerror"/>
    <w:basedOn w:val="a2"/>
  </w:style>
  <w:style w:type="character" w:styleId="contextualspellingandgrammarerror" w:customStyle="1">
    <w:name w:val="contextualspellingandgrammarerror"/>
    <w:basedOn w:val="a2"/>
  </w:style>
  <w:style w:type="paragraph" w:styleId="340" w:customStyle="1">
    <w:name w:val="34_ТЛ_Количество_листов"/>
    <w:basedOn w:val="a1"/>
    <w:next w:val="a1"/>
    <w:pPr>
      <w:spacing w:after="120" w:line="360" w:lineRule="auto"/>
      <w:jc w:val="center"/>
    </w:pPr>
    <w:rPr>
      <w:rFonts w:eastAsia="Times New Roman"/>
      <w:sz w:val="26"/>
      <w:szCs w:val="28"/>
    </w:rPr>
  </w:style>
  <w:style w:type="character" w:styleId="afffa">
    <w:name w:val="Emphasis"/>
    <w:rPr>
      <w:i/>
      <w:iCs/>
    </w:rPr>
  </w:style>
  <w:style w:type="character" w:styleId="35" w:customStyle="1">
    <w:name w:val="Неразрешенное упоминание3"/>
    <w:rPr>
      <w:color w:val="605e5c"/>
      <w:shd w:val="clear" w:color="auto" w:fill="e1dfdd"/>
    </w:rPr>
  </w:style>
  <w:style w:type="paragraph" w:styleId="1f" w:customStyle="1">
    <w:name w:val="Обычный (Интернет)1"/>
    <w:basedOn w:val="a1"/>
    <w:pPr>
      <w:spacing w:before="100" w:after="100"/>
    </w:pPr>
    <w:rPr>
      <w:rFonts w:eastAsia="Times New Roman" w:cs="Times New Roman"/>
      <w:szCs w:val="24"/>
      <w:lang w:eastAsia="ru-RU"/>
    </w:rPr>
  </w:style>
  <w:style w:type="paragraph" w:styleId="phtitlepagedocpart" w:customStyle="1">
    <w:name w:val="ph_titlepage_docpart"/>
    <w:basedOn w:val="a1"/>
    <w:next w:val="a1"/>
    <w:pPr>
      <w:spacing w:after="0" w:line="360" w:lineRule="auto"/>
      <w:jc w:val="center"/>
    </w:pPr>
    <w:rPr>
      <w:rFonts w:eastAsia="Times New Roman"/>
      <w:b/>
      <w:szCs w:val="28"/>
    </w:rPr>
  </w:style>
  <w:style w:type="paragraph" w:styleId="ScrollListBullet1" w:customStyle="1">
    <w:name w:val="Scroll List Bullet 1"/>
    <w:basedOn w:val="a1"/>
    <w:pPr>
      <w:spacing w:after="0" w:line="360" w:lineRule="auto"/>
      <w:ind w:right="-2"/>
      <w:jc w:val="both"/>
    </w:pPr>
    <w:rPr>
      <w:rFonts w:eastAsia="Times New Roman"/>
      <w:szCs w:val="24"/>
    </w:rPr>
  </w:style>
  <w:style w:type="character" w:styleId="ScrollListBullet10" w:customStyle="1">
    <w:name w:val="Scroll List Bullet 1 Знак"/>
    <w:rPr>
      <w:rFonts w:ascii="Times New Roman" w:hAnsi="Times New Roman" w:eastAsia="Times New Roman" w:cs="Arial"/>
      <w:sz w:val="24"/>
      <w:szCs w:val="24"/>
    </w:rPr>
  </w:style>
  <w:style w:type="paragraph" w:styleId="ScrollListBullet2" w:customStyle="1">
    <w:name w:val="Scroll List Bullet 2"/>
    <w:basedOn w:val="a1"/>
    <w:pPr>
      <w:spacing w:after="0" w:line="360" w:lineRule="auto"/>
      <w:ind w:right="-1"/>
      <w:jc w:val="both"/>
    </w:pPr>
    <w:rPr>
      <w:rFonts w:eastAsia="Times New Roman" w:cs="Times New Roman"/>
      <w:szCs w:val="24"/>
      <w:lang w:eastAsia="ru-RU"/>
    </w:rPr>
  </w:style>
  <w:style w:type="character" w:styleId="ScrollListBullet20" w:customStyle="1">
    <w:name w:val="Scroll List Bullet 2 Знак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47" w:customStyle="1">
    <w:name w:val="Неразрешенное упоминание4"/>
    <w:rPr>
      <w:color w:val="605e5c"/>
      <w:shd w:val="clear" w:color="auto" w:fill="e1dfdd"/>
    </w:rPr>
  </w:style>
  <w:style w:type="paragraph" w:styleId="afffb" w:customStyle="1">
    <w:name w:val="_Текст таблицы"/>
    <w:basedOn w:val="a1"/>
    <w:pPr>
      <w:spacing w:after="0"/>
    </w:pPr>
    <w:rPr>
      <w:rFonts w:eastAsia="Times New Roman" w:cs="Times New Roman"/>
      <w:szCs w:val="20"/>
    </w:rPr>
  </w:style>
  <w:style w:type="character" w:styleId="afffc" w:customStyle="1">
    <w:name w:val="_Текст таблицы Знак"/>
    <w:rPr>
      <w:rFonts w:ascii="Times New Roman" w:hAnsi="Times New Roman" w:eastAsia="Times New Roman" w:cs="Times New Roman"/>
      <w:sz w:val="24"/>
      <w:szCs w:val="20"/>
    </w:rPr>
  </w:style>
  <w:style w:type="paragraph" w:styleId="afffd" w:customStyle="1">
    <w:name w:val="Обычный (тбл)"/>
    <w:basedOn w:val="a1"/>
    <w:pPr>
      <w:spacing w:before="40" w:after="80" w:line="312" w:lineRule="auto"/>
      <w:ind w:left="851" w:hanging="851"/>
    </w:pPr>
    <w:rPr>
      <w:rFonts w:eastAsia="Times New Roman" w:cs="Times New Roman"/>
      <w:bCs/>
      <w:sz w:val="22"/>
      <w:szCs w:val="18"/>
      <w:lang w:eastAsia="ru-RU"/>
    </w:rPr>
  </w:style>
  <w:style w:type="character" w:styleId="afffe" w:customStyle="1">
    <w:name w:val="Обычный (тбл) Знак"/>
    <w:rPr>
      <w:rFonts w:ascii="Times New Roman" w:hAnsi="Times New Roman" w:eastAsia="Times New Roman" w:cs="Times New Roman"/>
      <w:bCs/>
      <w:szCs w:val="18"/>
      <w:lang w:eastAsia="ru-RU"/>
    </w:rPr>
  </w:style>
  <w:style w:type="paragraph" w:styleId="341" w:customStyle="1">
    <w:name w:val="34_ТЛ_Подпись_Шапка"/>
    <w:basedOn w:val="a1"/>
    <w:next w:val="342"/>
    <w:pPr>
      <w:spacing w:after="0" w:line="360" w:lineRule="auto"/>
    </w:pPr>
    <w:rPr>
      <w:rFonts w:eastAsia="Times New Roman" w:cs="Times New Roman"/>
      <w:caps/>
      <w:szCs w:val="24"/>
    </w:rPr>
  </w:style>
  <w:style w:type="paragraph" w:styleId="342" w:customStyle="1">
    <w:name w:val="34_ТЛ_Подпись"/>
    <w:basedOn w:val="a1"/>
    <w:pPr>
      <w:spacing w:before="20" w:after="120"/>
    </w:pPr>
    <w:rPr>
      <w:rFonts w:eastAsia="Times New Roman" w:cs="Times New Roman"/>
      <w:sz w:val="22"/>
      <w:szCs w:val="20"/>
    </w:rPr>
  </w:style>
  <w:style w:type="character" w:styleId="affff" w:customStyle="1">
    <w:name w:val="Заголовок раздела Знак"/>
    <w:rPr>
      <w:rFonts w:ascii="Times New Roman Полужирный" w:hAnsi="Times New Roman Полужирный" w:eastAsia="Times New Roman" w:cs="Times New Roman"/>
      <w:b/>
      <w:bCs/>
      <w:sz w:val="32"/>
      <w:szCs w:val="32"/>
      <w:lang w:bidi="en-US"/>
    </w:rPr>
  </w:style>
  <w:style w:type="paragraph" w:styleId="affff0" w:customStyle="1">
    <w:name w:val="парагрф"/>
    <w:basedOn w:val="-21"/>
    <w:pPr>
      <w:tabs>
        <w:tab w:val="clear" w:pos="2634"/>
        <w:tab w:val="left" w:pos="1259"/>
      </w:tabs>
      <w:ind w:left="851" w:firstLine="0"/>
    </w:pPr>
    <w:rPr>
      <w:rFonts w:ascii="Times New Roman Полужирный" w:hAnsi="Times New Roman Полужирный"/>
    </w:rPr>
  </w:style>
  <w:style w:type="character" w:styleId="210" w:customStyle="1">
    <w:name w:val="Заголовок 2 Знак1"/>
    <w:rPr>
      <w:rFonts w:ascii="Times New Roman Полужирный" w:hAnsi="Times New Roman Полужирный" w:eastAsia="Arial Unicode MS" w:cs="Times New Roman"/>
      <w:b/>
      <w:sz w:val="28"/>
      <w:szCs w:val="24"/>
      <w:lang w:eastAsia="ru-RU"/>
    </w:rPr>
  </w:style>
  <w:style w:type="character" w:styleId="-210" w:customStyle="1">
    <w:name w:val="Гост-заг2 Знак1"/>
    <w:rPr>
      <w:rFonts w:ascii="Times New Roman" w:hAnsi="Times New Roman" w:eastAsia="Times New Roman" w:cs="Times New Roman"/>
      <w:b/>
      <w:bCs/>
      <w:iCs/>
      <w:sz w:val="28"/>
      <w:szCs w:val="24"/>
      <w:lang w:eastAsia="ru-RU" w:bidi="en-US"/>
    </w:rPr>
  </w:style>
  <w:style w:type="character" w:styleId="affff1" w:customStyle="1">
    <w:name w:val="парагрф Знак"/>
    <w:rPr>
      <w:rFonts w:ascii="Times New Roman Полужирный" w:hAnsi="Times New Roman Полужирный" w:eastAsia="Times New Roman" w:cs="Times New Roman"/>
      <w:b/>
      <w:bCs/>
      <w:iCs/>
      <w:sz w:val="28"/>
      <w:szCs w:val="24"/>
      <w:lang w:eastAsia="ru-RU" w:bidi="en-US"/>
    </w:rPr>
  </w:style>
  <w:style w:type="paragraph" w:styleId="affff2" w:customStyle="1">
    <w:name w:val="позагол"/>
    <w:basedOn w:val="-31"/>
    <w:pPr>
      <w:numPr>
        <w:ilvl w:val="0"/>
      </w:numPr>
      <w:tabs>
        <w:tab w:val="clear" w:pos="-9595"/>
        <w:tab w:val="left" w:pos="-3155"/>
        <w:tab w:val="left" w:pos="-2021"/>
      </w:tabs>
      <w:ind w:left="851" w:hanging="432"/>
    </w:pPr>
    <w:rPr>
      <w:rFonts w:ascii="Times New Roman Полужирный" w:hAnsi="Times New Roman Полужирный"/>
    </w:rPr>
  </w:style>
  <w:style w:type="character" w:styleId="-310" w:customStyle="1">
    <w:name w:val="Гост-заг3 Знак1"/>
    <w:rPr>
      <w:rFonts w:ascii="Times New Roman" w:hAnsi="Times New Roman" w:eastAsia="Times New Roman" w:cs="Times New Roman"/>
      <w:b/>
      <w:bCs/>
      <w:iCs/>
      <w:sz w:val="28"/>
      <w:szCs w:val="24"/>
      <w:lang w:eastAsia="ru-RU" w:bidi="en-US"/>
    </w:rPr>
  </w:style>
  <w:style w:type="character" w:styleId="affff3" w:customStyle="1">
    <w:name w:val="позагол Знак"/>
    <w:rPr>
      <w:rFonts w:ascii="Times New Roman Полужирный" w:hAnsi="Times New Roman Полужирный" w:eastAsia="Times New Roman" w:cs="Times New Roman"/>
      <w:b/>
      <w:bCs/>
      <w:iCs/>
      <w:sz w:val="28"/>
      <w:szCs w:val="24"/>
      <w:lang w:eastAsia="ru-RU" w:bidi="en-US"/>
    </w:rPr>
  </w:style>
  <w:style w:type="character" w:styleId="1f0" w:customStyle="1">
    <w:name w:val="Заголовок раздела Знак1"/>
    <w:rPr>
      <w:rFonts w:ascii="Times New Roman Полужирный" w:hAnsi="Times New Roman Полужирный" w:eastAsia="Times New Roman" w:cs="Times New Roman"/>
      <w:b/>
      <w:bCs/>
      <w:sz w:val="32"/>
      <w:szCs w:val="32"/>
      <w:lang w:bidi="en-US"/>
    </w:rPr>
  </w:style>
  <w:style w:type="character" w:styleId="affff4" w:customStyle="1">
    <w:name w:val="раздел Знак"/>
    <w:rPr>
      <w:rFonts w:ascii="Times New Roman Полужирный" w:hAnsi="Times New Roman Полужирный" w:eastAsia="Times New Roman" w:cs="Times New Roman"/>
      <w:b/>
      <w:bCs/>
      <w:sz w:val="32"/>
      <w:szCs w:val="32"/>
      <w:lang w:bidi="en-US"/>
    </w:rPr>
  </w:style>
  <w:style w:type="paragraph" w:styleId="affff5" w:customStyle="1">
    <w:name w:val="параграф"/>
    <w:basedOn w:val="affff0"/>
  </w:style>
  <w:style w:type="character" w:styleId="220" w:customStyle="1">
    <w:name w:val="Заголовок 2 Знак2"/>
    <w:rPr>
      <w:rFonts w:ascii="Times New Roman Полужирный" w:hAnsi="Times New Roman Полужирный" w:eastAsia="Arial Unicode MS" w:cs="Times New Roman"/>
      <w:b/>
      <w:sz w:val="28"/>
      <w:szCs w:val="24"/>
      <w:lang w:eastAsia="ru-RU"/>
    </w:rPr>
  </w:style>
  <w:style w:type="character" w:styleId="-220" w:customStyle="1">
    <w:name w:val="Гост-заг2 Знак2"/>
    <w:rPr>
      <w:rFonts w:ascii="Times New Roman" w:hAnsi="Times New Roman" w:eastAsia="Times New Roman" w:cs="Times New Roman"/>
      <w:b/>
      <w:bCs/>
      <w:iCs/>
      <w:sz w:val="28"/>
      <w:szCs w:val="24"/>
      <w:lang w:eastAsia="ru-RU" w:bidi="en-US"/>
    </w:rPr>
  </w:style>
  <w:style w:type="character" w:styleId="1f1" w:customStyle="1">
    <w:name w:val="парагрф Знак1"/>
    <w:rPr>
      <w:rFonts w:ascii="Times New Roman Полужирный" w:hAnsi="Times New Roman Полужирный" w:eastAsia="Times New Roman" w:cs="Times New Roman"/>
      <w:b/>
      <w:bCs/>
      <w:iCs/>
      <w:sz w:val="28"/>
      <w:szCs w:val="24"/>
      <w:lang w:eastAsia="ru-RU" w:bidi="en-US"/>
    </w:rPr>
  </w:style>
  <w:style w:type="character" w:styleId="affff6" w:customStyle="1">
    <w:name w:val="параграф Знак"/>
    <w:rPr>
      <w:rFonts w:ascii="Times New Roman Полужирный" w:hAnsi="Times New Roman Полужирный" w:eastAsia="Times New Roman" w:cs="Times New Roman"/>
      <w:b/>
      <w:bCs/>
      <w:iCs/>
      <w:sz w:val="28"/>
      <w:szCs w:val="24"/>
      <w:lang w:eastAsia="ru-RU" w:bidi="en-US"/>
    </w:rPr>
  </w:style>
  <w:style w:type="paragraph" w:styleId="a0" w:customStyle="1">
    <w:name w:val="подпараграф"/>
    <w:basedOn w:val="affff2"/>
    <w:pPr>
      <w:numPr>
        <w:numId w:val="6"/>
      </w:numPr>
      <w:spacing w:line="240" w:lineRule="auto"/>
      <w:outlineLvl w:val="3"/>
    </w:pPr>
    <w:rPr>
      <w:rFonts w:ascii="Times New Roman" w:hAnsi="Times New Roman"/>
      <w:sz w:val="26"/>
    </w:rPr>
  </w:style>
  <w:style w:type="character" w:styleId="-320" w:customStyle="1">
    <w:name w:val="Гост-заг3 Знак2"/>
    <w:rPr>
      <w:rFonts w:ascii="Times New Roman" w:hAnsi="Times New Roman" w:eastAsia="Times New Roman" w:cs="Times New Roman"/>
      <w:b/>
      <w:bCs/>
      <w:iCs/>
      <w:sz w:val="28"/>
      <w:szCs w:val="24"/>
      <w:lang w:eastAsia="ru-RU" w:bidi="en-US"/>
    </w:rPr>
  </w:style>
  <w:style w:type="character" w:styleId="1f2" w:customStyle="1">
    <w:name w:val="позагол Знак1"/>
    <w:rPr>
      <w:rFonts w:ascii="Times New Roman Полужирный" w:hAnsi="Times New Roman Полужирный" w:eastAsia="Times New Roman" w:cs="Times New Roman"/>
      <w:b/>
      <w:bCs/>
      <w:iCs/>
      <w:sz w:val="28"/>
      <w:szCs w:val="24"/>
      <w:lang w:eastAsia="ru-RU" w:bidi="en-US"/>
    </w:rPr>
  </w:style>
  <w:style w:type="character" w:styleId="affff7" w:customStyle="1">
    <w:name w:val="подпараграф Знак"/>
    <w:rPr>
      <w:rFonts w:ascii="Times New Roman" w:hAnsi="Times New Roman" w:eastAsia="Times New Roman" w:cs="Times New Roman"/>
      <w:b/>
      <w:bCs/>
      <w:iCs/>
      <w:sz w:val="26"/>
      <w:szCs w:val="24"/>
      <w:lang w:eastAsia="ru-RU" w:bidi="en-US"/>
    </w:rPr>
  </w:style>
  <w:style w:type="numbering" w:styleId="WWOutlineListStyle6" w:customStyle="1">
    <w:name w:val="WW_OutlineListStyle_6"/>
    <w:basedOn w:val="a4"/>
  </w:style>
  <w:style w:type="numbering" w:styleId="WWOutlineListStyle5" w:customStyle="1">
    <w:name w:val="WW_OutlineListStyle_5"/>
    <w:basedOn w:val="a4"/>
  </w:style>
  <w:style w:type="numbering" w:styleId="WWOutlineListStyle4" w:customStyle="1">
    <w:name w:val="WW_OutlineListStyle_4"/>
    <w:basedOn w:val="a4"/>
  </w:style>
  <w:style w:type="numbering" w:styleId="WWOutlineListStyle3" w:customStyle="1">
    <w:name w:val="WW_OutlineListStyle_3"/>
    <w:basedOn w:val="a4"/>
  </w:style>
  <w:style w:type="numbering" w:styleId="WWOutlineListStyle2" w:customStyle="1">
    <w:name w:val="WW_OutlineListStyle_2"/>
    <w:basedOn w:val="a4"/>
  </w:style>
  <w:style w:type="numbering" w:styleId="WWOutlineListStyle1" w:customStyle="1">
    <w:name w:val="WW_OutlineListStyle_1"/>
    <w:basedOn w:val="a4"/>
  </w:style>
  <w:style w:type="numbering" w:styleId="WWOutlineListStyle" w:customStyle="1">
    <w:name w:val="WW_OutlineListStyle"/>
    <w:basedOn w:val="a4"/>
  </w:style>
  <w:style w:type="numbering" w:styleId="LFO2" w:customStyle="1">
    <w:name w:val="LFO2"/>
    <w:basedOn w:val="a4"/>
  </w:style>
  <w:style w:type="numbering" w:styleId="LFO3" w:customStyle="1">
    <w:name w:val="LFO3"/>
    <w:basedOn w:val="a4"/>
  </w:style>
  <w:style w:type="numbering" w:styleId="LFO4" w:customStyle="1">
    <w:name w:val="LFO4"/>
    <w:basedOn w:val="a4"/>
  </w:style>
  <w:style w:type="numbering" w:styleId="LFO5" w:customStyle="1">
    <w:name w:val="LFO5"/>
    <w:basedOn w:val="a4"/>
  </w:style>
  <w:style w:type="numbering" w:styleId="LFO6" w:customStyle="1">
    <w:name w:val="LFO6"/>
    <w:basedOn w:val="a4"/>
  </w:style>
  <w:style w:type="numbering" w:styleId="LFO16" w:customStyle="1">
    <w:name w:val="LFO16"/>
    <w:basedOn w:val="a4"/>
  </w:style>
  <w:style w:type="numbering" w:styleId="LFO19" w:customStyle="1">
    <w:name w:val="LFO19"/>
    <w:basedOn w:val="a4"/>
  </w:style>
  <w:style w:type="numbering" w:styleId="LFO58" w:customStyle="1">
    <w:name w:val="LFO58"/>
    <w:basedOn w:val="a4"/>
  </w:style>
  <w:style w:type="paragraph" w:styleId="343" w:customStyle="1">
    <w:name w:val="34_Таблица_Основной"/>
    <w:basedOn w:val="a1"/>
    <w:qFormat/>
    <w:pPr>
      <w:spacing w:after="0"/>
      <w:jc w:val="both"/>
    </w:pPr>
    <w:rPr>
      <w:rFonts w:eastAsia="Times New Roman" w:cs="Times New Roman"/>
      <w:color w:val="000000"/>
      <w:szCs w:val="20"/>
    </w:rPr>
  </w:style>
  <w:style w:type="character" w:styleId="344" w:customStyle="1">
    <w:name w:val="34_Абзац_Обычный Знак"/>
    <w:link w:val="345"/>
    <w:rPr>
      <w:rFonts w:ascii="Times New Roman" w:hAnsi="Times New Roman" w:eastAsia="Times New Roman" w:cs="Times New Roman"/>
      <w:sz w:val="26"/>
      <w:szCs w:val="20"/>
    </w:rPr>
  </w:style>
  <w:style w:type="paragraph" w:styleId="345" w:customStyle="1">
    <w:name w:val="34_Абзац_Обычный"/>
    <w:link w:val="344"/>
    <w:qFormat/>
    <w:pPr>
      <w:spacing w:line="360" w:lineRule="auto"/>
      <w:ind w:firstLine="720"/>
      <w:jc w:val="both"/>
    </w:pPr>
    <w:rPr>
      <w:rFonts w:ascii="Times New Roman" w:hAnsi="Times New Roman" w:eastAsia="Times New Roman" w:cs="Times New Roman"/>
      <w:sz w:val="26"/>
      <w:lang w:eastAsia="en-US"/>
    </w:rPr>
  </w:style>
  <w:style w:type="paragraph" w:styleId="346" w:customStyle="1">
    <w:name w:val="34_Приложение_Таблица_Заголовок"/>
    <w:basedOn w:val="a1"/>
    <w:qFormat/>
    <w:pPr>
      <w:keepNext/>
      <w:keepLines/>
      <w:spacing w:before="360" w:after="120" w:line="360" w:lineRule="auto"/>
      <w:jc w:val="both"/>
    </w:pPr>
    <w:rPr>
      <w:rFonts w:eastAsia="Times New Roman" w:cs="Times New Roman"/>
      <w:szCs w:val="24"/>
    </w:rPr>
  </w:style>
  <w:style w:type="paragraph" w:styleId="347" w:customStyle="1">
    <w:name w:val="34_Приложение_Абзац_Обычный"/>
    <w:basedOn w:val="345"/>
    <w:qFormat/>
    <w:pPr>
      <w:ind w:firstLine="0"/>
      <w:jc w:val="right"/>
    </w:pPr>
    <w:rPr>
      <w:i/>
      <w:iCs/>
      <w:sz w:val="18"/>
      <w:szCs w:val="18"/>
    </w:rPr>
  </w:style>
  <w:style w:type="character" w:styleId="affff8">
    <w:name w:val="Unresolved Mention"/>
    <w:uiPriority w:val="99"/>
    <w:semiHidden/>
    <w:unhideWhenUsed/>
    <w:rPr>
      <w:color w:val="605e5c"/>
      <w:shd w:val="clear" w:color="auto" w:fill="e1dfdd"/>
    </w:rPr>
  </w:style>
  <w:style w:type="table" w:styleId="1f3" w:customStyle="1">
    <w:name w:val="Сетка таблицы1"/>
    <w:basedOn w:val="a3"/>
    <w:next w:val="af"/>
    <w:uiPriority w:val="59"/>
    <w:rPr>
      <w:rFonts w:ascii="Liberation Sans" w:hAnsi="Liberation Sans" w:eastAsia="Liberation Sans"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fff9" w:customStyle="1">
    <w:name w:val="Заголовок к тексту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480" w:line="240" w:lineRule="exact"/>
    </w:pPr>
    <w:rPr>
      <w:rFonts w:ascii="Times New Roman" w:hAnsi="Times New Roman" w:eastAsia="Times New Roman" w:cs="Times New Roman"/>
      <w:b/>
      <w:sz w:val="28"/>
    </w:rPr>
  </w:style>
  <w:style w:type="paragraph" w:styleId="affffa" w:customStyle="1">
    <w:name w:val="Адресат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240" w:lineRule="exact"/>
    </w:pPr>
    <w:rPr>
      <w:rFonts w:ascii="Times New Roman" w:hAnsi="Times New Roman" w:eastAsia="Times New Roman" w:cs="Times New Roman"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yperlink" Target="mailto:stp.mis@rtmis.ru" TargetMode="External"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hyperlink" Target="mailto:info@miac.permkrai.ru." TargetMode="External"/><Relationship Id="rId22" Type="http://schemas.openxmlformats.org/officeDocument/2006/relationships/hyperlink" Target="mailto:stp.mis@rtmi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41328</Characters>
  <CharactersWithSpaces>48482</CharactersWithSpaces>
  <Company/>
  <DocSecurity>0</DocSecurity>
  <HyperlinksChanged>false</HyperlinksChanged>
  <Lines>344</Lines>
  <LinksUpToDate>false</LinksUpToDate>
  <Pages>34</Pages>
  <Paragraphs>96</Paragraphs>
  <ScaleCrop>false</ScaleCrop>
  <SharedDoc>false</SharedDoc>
  <Template>Normal</Template>
  <TotalTime>97</TotalTime>
  <Words>7250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Панушкова Софья Владимировна</dc:creator>
  <cp:lastModifiedBy>aismirnova</cp:lastModifiedBy>
  <cp:revision>29</cp:revision>
  <dcterms:created xsi:type="dcterms:W3CDTF">2026-08-06T11:25:00Z</dcterms:created>
  <dcterms:modified xsi:type="dcterms:W3CDTF">2026-09-21T13:15:00Z</dcterms:modified>
  <cp:version>1048576</cp:version>
</cp:coreProperties>
</file>